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shape style="position:absolute;margin-left:46.0816pt;margin-top:295.227448pt;width:11pt;height:413.3pt;mso-position-horizontal-relative:page;mso-position-vertical-relative:page;z-index:0"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rPr>
          <w:rFonts w:ascii="Times New Roman"/>
          <w:sz w:val="20"/>
        </w:rPr>
      </w:pPr>
    </w:p>
    <w:p>
      <w:pPr>
        <w:pStyle w:val="BodyText"/>
        <w:spacing w:before="4"/>
        <w:rPr>
          <w:rFonts w:ascii="Times New Roman"/>
          <w:sz w:val="21"/>
        </w:rPr>
      </w:pPr>
    </w:p>
    <w:p>
      <w:pPr>
        <w:pStyle w:val="Heading1"/>
        <w:spacing w:before="94"/>
        <w:jc w:val="left"/>
      </w:pPr>
      <w:r>
        <w:rPr/>
        <w:t>ACTA DE LA SESSIÓ DEL PLE DE L’AJUNTAMENT DEL DIA 20 DE JULIOL DE 2018</w:t>
      </w:r>
    </w:p>
    <w:p>
      <w:pPr>
        <w:pStyle w:val="BodyText"/>
        <w:rPr>
          <w:b/>
          <w:sz w:val="24"/>
        </w:rPr>
      </w:pPr>
    </w:p>
    <w:p>
      <w:pPr>
        <w:pStyle w:val="BodyText"/>
        <w:spacing w:before="10"/>
        <w:rPr>
          <w:b/>
          <w:sz w:val="19"/>
        </w:rPr>
      </w:pPr>
    </w:p>
    <w:p>
      <w:pPr>
        <w:spacing w:before="1"/>
        <w:ind w:left="305" w:right="0" w:firstLine="0"/>
        <w:jc w:val="left"/>
        <w:rPr>
          <w:b/>
          <w:sz w:val="22"/>
        </w:rPr>
      </w:pPr>
      <w:r>
        <w:rPr>
          <w:b/>
          <w:sz w:val="22"/>
        </w:rPr>
        <w:t>Identificació de la sessió:</w:t>
      </w:r>
    </w:p>
    <w:p>
      <w:pPr>
        <w:pStyle w:val="BodyText"/>
        <w:spacing w:line="252" w:lineRule="exact" w:before="3"/>
        <w:ind w:left="305"/>
      </w:pPr>
      <w:r>
        <w:rPr/>
        <w:t>Núm. PLE2018000005</w:t>
      </w:r>
    </w:p>
    <w:p>
      <w:pPr>
        <w:pStyle w:val="BodyText"/>
        <w:ind w:left="305" w:right="6452"/>
      </w:pPr>
      <w:r>
        <w:rPr/>
        <w:t>Caràcter: Sessió Ordinària Data: 20 de juliol de 2018 Hora d’inici: 21:00 h</w:t>
      </w:r>
    </w:p>
    <w:p>
      <w:pPr>
        <w:pStyle w:val="BodyText"/>
        <w:spacing w:before="2"/>
        <w:ind w:left="305" w:right="7185"/>
      </w:pPr>
      <w:r>
        <w:rPr/>
        <w:t>Hora de fi: 22:10 h Lloc: Sala de plens</w:t>
      </w:r>
    </w:p>
    <w:p>
      <w:pPr>
        <w:pStyle w:val="BodyText"/>
        <w:spacing w:before="9"/>
        <w:rPr>
          <w:sz w:val="21"/>
        </w:rPr>
      </w:pPr>
    </w:p>
    <w:p>
      <w:pPr>
        <w:pStyle w:val="Heading1"/>
        <w:jc w:val="left"/>
      </w:pPr>
      <w:r>
        <w:rPr/>
        <w:t>Hi assisteixen:</w:t>
      </w:r>
    </w:p>
    <w:p>
      <w:pPr>
        <w:pStyle w:val="BodyText"/>
        <w:spacing w:before="3"/>
        <w:rPr>
          <w:b/>
        </w:rPr>
      </w:pPr>
    </w:p>
    <w:p>
      <w:pPr>
        <w:pStyle w:val="BodyText"/>
        <w:ind w:left="305" w:right="4695"/>
      </w:pPr>
      <w:r>
        <w:rPr/>
        <w:t>Sr. Ramon Roqué i Riu, Alcalde-President Sr. Jordi Caparrós i Marcé, regidor</w:t>
      </w:r>
    </w:p>
    <w:p>
      <w:pPr>
        <w:pStyle w:val="BodyText"/>
        <w:ind w:left="305" w:right="4667"/>
      </w:pPr>
      <w:r>
        <w:rPr/>
        <w:t>Sra. Montserrat Tallant i Descamps, regidora Sr. Ferran Miquel Rigau, regidor</w:t>
      </w:r>
    </w:p>
    <w:p>
      <w:pPr>
        <w:pStyle w:val="BodyText"/>
        <w:ind w:left="305" w:right="4423"/>
      </w:pPr>
      <w:r>
        <w:rPr/>
        <w:t>Sra. Maria Teresa Tallant i Descamps, regidora Sr. Lluís Ibáñez Ruano, regidor</w:t>
      </w:r>
    </w:p>
    <w:p>
      <w:pPr>
        <w:pStyle w:val="BodyText"/>
        <w:ind w:left="305" w:right="5645"/>
      </w:pPr>
      <w:r>
        <w:rPr/>
        <w:t>Sra. Sandra Soler García, regidora Sr. Sergi Albrich i Viñas, regidor</w:t>
      </w:r>
    </w:p>
    <w:p>
      <w:pPr>
        <w:pStyle w:val="BodyText"/>
        <w:spacing w:line="480" w:lineRule="auto"/>
        <w:ind w:left="305" w:right="4985"/>
      </w:pPr>
      <w:r>
        <w:rPr/>
        <w:t>Sra. Elisenda Guillaumes Cullell, regidora Excusen la seva absència:</w:t>
      </w:r>
    </w:p>
    <w:p>
      <w:pPr>
        <w:pStyle w:val="BodyText"/>
        <w:spacing w:line="251" w:lineRule="exact"/>
        <w:ind w:left="305"/>
      </w:pPr>
      <w:r>
        <w:rPr/>
        <w:t>Sra. Mª Lluïsa Pérez i Castro, regidora</w:t>
      </w:r>
    </w:p>
    <w:p>
      <w:pPr>
        <w:pStyle w:val="BodyText"/>
        <w:spacing w:before="1"/>
        <w:ind w:left="305"/>
      </w:pPr>
      <w:r>
        <w:rPr/>
        <w:t>Sra. Concepció Formatgé i Marcer, regidora</w:t>
      </w:r>
    </w:p>
    <w:p>
      <w:pPr>
        <w:pStyle w:val="BodyText"/>
      </w:pPr>
    </w:p>
    <w:p>
      <w:pPr>
        <w:pStyle w:val="BodyText"/>
        <w:ind w:left="305"/>
      </w:pPr>
      <w:r>
        <w:rPr/>
        <w:t>Sra. Raquel Costa Iglesias, Secretària-interventora que en dóna fe.</w:t>
      </w:r>
    </w:p>
    <w:p>
      <w:pPr>
        <w:pStyle w:val="BodyText"/>
        <w:rPr>
          <w:sz w:val="24"/>
        </w:rPr>
      </w:pPr>
    </w:p>
    <w:p>
      <w:pPr>
        <w:pStyle w:val="BodyText"/>
        <w:spacing w:before="9"/>
        <w:rPr>
          <w:sz w:val="19"/>
        </w:rPr>
      </w:pPr>
    </w:p>
    <w:p>
      <w:pPr>
        <w:pStyle w:val="Heading1"/>
        <w:jc w:val="left"/>
      </w:pPr>
      <w:r>
        <w:rPr/>
        <w:t>Desenvolupament de la sessió</w:t>
      </w:r>
    </w:p>
    <w:p>
      <w:pPr>
        <w:pStyle w:val="BodyText"/>
        <w:spacing w:before="3"/>
        <w:rPr>
          <w:b/>
        </w:rPr>
      </w:pPr>
    </w:p>
    <w:p>
      <w:pPr>
        <w:pStyle w:val="BodyText"/>
        <w:ind w:left="305" w:right="272"/>
      </w:pPr>
      <w:r>
        <w:rPr/>
        <w:t>Un cop la secretària ha comprovat l’existència del quòrum que cal perquè es pugui iniciar la sessió, es comencen a tractar els assumptes inclosos en l’ordre del dia.</w:t>
      </w:r>
    </w:p>
    <w:p>
      <w:pPr>
        <w:pStyle w:val="BodyText"/>
        <w:rPr>
          <w:sz w:val="24"/>
        </w:rPr>
      </w:pPr>
    </w:p>
    <w:p>
      <w:pPr>
        <w:pStyle w:val="BodyText"/>
        <w:spacing w:before="8"/>
        <w:rPr>
          <w:sz w:val="19"/>
        </w:rPr>
      </w:pPr>
    </w:p>
    <w:p>
      <w:pPr>
        <w:pStyle w:val="Heading1"/>
        <w:jc w:val="left"/>
      </w:pPr>
      <w:r>
        <w:rPr/>
        <w:t>1.- APROVACIÓ ACTA ANTERIOR</w:t>
      </w:r>
    </w:p>
    <w:p>
      <w:pPr>
        <w:pStyle w:val="BodyText"/>
        <w:spacing w:before="3"/>
        <w:rPr>
          <w:b/>
        </w:rPr>
      </w:pPr>
    </w:p>
    <w:p>
      <w:pPr>
        <w:pStyle w:val="BodyText"/>
        <w:ind w:left="305"/>
      </w:pPr>
      <w:r>
        <w:rPr/>
        <w:t>Sotmesa l´acta de la sessió anterior a consideració dels seus membres, aquesta s´aprova per unanimitat dels assistents.</w:t>
      </w:r>
    </w:p>
    <w:p>
      <w:pPr>
        <w:pStyle w:val="BodyText"/>
        <w:rPr>
          <w:sz w:val="24"/>
        </w:rPr>
      </w:pPr>
    </w:p>
    <w:p>
      <w:pPr>
        <w:pStyle w:val="BodyText"/>
        <w:spacing w:before="10"/>
        <w:rPr>
          <w:sz w:val="19"/>
        </w:rPr>
      </w:pPr>
    </w:p>
    <w:p>
      <w:pPr>
        <w:pStyle w:val="Heading1"/>
        <w:jc w:val="left"/>
      </w:pPr>
      <w:r>
        <w:rPr/>
        <w:t>2.- APROVACIÓ INICIAL EXPEDIENT EXPROPIACIÓ FORÇOSA DE 772 M2 DE LA FINCA REGISTRAL 213 DE SANT JOAN DE LES ABADESSES</w:t>
      </w:r>
    </w:p>
    <w:p>
      <w:pPr>
        <w:spacing w:after="0"/>
        <w:jc w:val="left"/>
        <w:sectPr>
          <w:headerReference w:type="default" r:id="rId5"/>
          <w:footerReference w:type="default" r:id="rId6"/>
          <w:type w:val="continuous"/>
          <w:pgSz w:w="11910" w:h="16840"/>
          <w:pgMar w:header="766" w:footer="2271" w:top="1920" w:bottom="2460" w:left="1680" w:right="860"/>
        </w:sectPr>
      </w:pPr>
    </w:p>
    <w:p>
      <w:pPr>
        <w:pStyle w:val="BodyText"/>
        <w:rPr>
          <w:b/>
          <w:sz w:val="20"/>
        </w:rPr>
      </w:pPr>
      <w:r>
        <w:rPr/>
        <w:pict>
          <v:shape style="position:absolute;margin-left:46.0816pt;margin-top:295.227448pt;width:11pt;height:413.3pt;mso-position-horizontal-relative:page;mso-position-vertical-relative:page;z-index:1048"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b/>
          <w:sz w:val="19"/>
        </w:rPr>
      </w:pPr>
    </w:p>
    <w:p>
      <w:pPr>
        <w:pStyle w:val="BodyText"/>
        <w:spacing w:before="94"/>
        <w:ind w:left="305" w:right="272"/>
        <w:jc w:val="both"/>
      </w:pPr>
      <w:r>
        <w:rPr/>
        <w:t>Vist el Decret d´Alcaldia de data 18 de juliol de 2017 , mitjançant el qual es proposa al ple de la corporació, l’ iniciació de l’expedient d’expropiació forçosa d´una peça de 772 m2 per acabar d´obtenir la total propietat dels terrenys destinats de facto a espais públics a la zona de la Plaça Barcelona, que és la resta de la finca registral 213 de Sant Joan de les Abadesses, propietat de la Sra. Maria Concepció Sala Bellapart i que en el seu moment no van ser objecte d´expropiació en les actuacions realitzades dins la unitat d´actuació  del sector de</w:t>
      </w:r>
      <w:r>
        <w:rPr>
          <w:spacing w:val="-2"/>
        </w:rPr>
        <w:t> </w:t>
      </w:r>
      <w:r>
        <w:rPr/>
        <w:t>l´escorxador.</w:t>
      </w:r>
    </w:p>
    <w:p>
      <w:pPr>
        <w:pStyle w:val="BodyText"/>
        <w:spacing w:before="11"/>
        <w:rPr>
          <w:sz w:val="21"/>
        </w:rPr>
      </w:pPr>
    </w:p>
    <w:p>
      <w:pPr>
        <w:pStyle w:val="BodyText"/>
        <w:ind w:left="305" w:right="270"/>
        <w:jc w:val="both"/>
      </w:pPr>
      <w:r>
        <w:rPr/>
        <w:t>Atès que l´aprovació d'un pla o projecte d'obres o serveis comporta la declaració d'utilitat pública i la necessitat d’ocupació dels terrenys i edificis que s’hi citen a efectes de la seva expropiació forçosa.</w:t>
      </w:r>
    </w:p>
    <w:p>
      <w:pPr>
        <w:pStyle w:val="BodyText"/>
        <w:spacing w:before="1"/>
      </w:pPr>
    </w:p>
    <w:p>
      <w:pPr>
        <w:pStyle w:val="BodyText"/>
        <w:ind w:left="305" w:right="273"/>
        <w:jc w:val="both"/>
      </w:pPr>
      <w:r>
        <w:rPr/>
        <w:t>Atès el que disposen els articles 10 a 21 de la Llei d’expropiació forçosa, de 16 de desembre de 1954 i l’art. 3 del seu Reglament de 26 d’abril de 1958; art. 94 del Reial Decret Legislatiu 781/1986, de 18 d’abril, pel qual s’aprova el Text refós de les disposicions legals vigents en matèria de règim local i art. 8.1.d) de la llei 8/1987, de 15 d’abril, municipal i de règim local de Catalunya.</w:t>
      </w:r>
    </w:p>
    <w:p>
      <w:pPr>
        <w:pStyle w:val="BodyText"/>
        <w:spacing w:before="11"/>
        <w:rPr>
          <w:sz w:val="21"/>
        </w:rPr>
      </w:pPr>
    </w:p>
    <w:p>
      <w:pPr>
        <w:pStyle w:val="BodyText"/>
        <w:ind w:left="305" w:right="277"/>
        <w:jc w:val="both"/>
      </w:pPr>
      <w:r>
        <w:rPr/>
        <w:t>Per tot el que s’acaba d’exposar és pel que es proposa al Ple Municipal de l’Ajuntament, l’adopció dels següents ACORDS:</w:t>
      </w:r>
    </w:p>
    <w:p>
      <w:pPr>
        <w:pStyle w:val="BodyText"/>
        <w:spacing w:before="11"/>
        <w:rPr>
          <w:sz w:val="21"/>
        </w:rPr>
      </w:pPr>
    </w:p>
    <w:p>
      <w:pPr>
        <w:pStyle w:val="BodyText"/>
        <w:ind w:left="305" w:right="274"/>
        <w:jc w:val="both"/>
      </w:pPr>
      <w:r>
        <w:rPr/>
        <w:t>PRIMER.- Constatar el fet de la declaració implícita d’utilitat pública a l’efecte d’ocupació de la finca que consta en la relació concreta i individualitzada adjunta al present acord.</w:t>
      </w:r>
    </w:p>
    <w:p>
      <w:pPr>
        <w:pStyle w:val="BodyText"/>
        <w:spacing w:before="2"/>
      </w:pPr>
    </w:p>
    <w:p>
      <w:pPr>
        <w:pStyle w:val="BodyText"/>
        <w:ind w:left="305" w:right="270"/>
        <w:jc w:val="both"/>
      </w:pPr>
      <w:r>
        <w:rPr/>
        <w:t>SEGON.- Declarar la necessitat d’ocupació de la finca que consta a la relació concreta i individualitzada adjunta, indispensable pel fi de l’expropiació i en el qual es descriuen els béns i drets necessaris, en tots els seus aspectes material i jurídic, amb els noms dels propietaris o dels seus representants, indicació dels seus domicilis i de tots aquells que resultin titulars d’algun dret o interès indemnitzable, afectats per l’execució del projecte esmentat en l´apartat anterior, i que s’iniciï expedient d’expropiació forçosa d’aquests béns i drets, en el seu</w:t>
      </w:r>
      <w:r>
        <w:rPr>
          <w:spacing w:val="-4"/>
        </w:rPr>
        <w:t> </w:t>
      </w:r>
      <w:r>
        <w:rPr/>
        <w:t>cas.</w:t>
      </w:r>
    </w:p>
    <w:p>
      <w:pPr>
        <w:pStyle w:val="BodyText"/>
        <w:spacing w:before="11"/>
        <w:rPr>
          <w:sz w:val="21"/>
        </w:rPr>
      </w:pPr>
    </w:p>
    <w:p>
      <w:pPr>
        <w:pStyle w:val="BodyText"/>
        <w:ind w:left="305" w:right="274"/>
        <w:jc w:val="both"/>
      </w:pPr>
      <w:r>
        <w:rPr/>
        <w:t>TERCER.- Aprovar la relació concreta i individualitzada de propietaris formulada a l’efecte i la descripció de béns i drets afectats per l’expropiació.</w:t>
      </w:r>
    </w:p>
    <w:p>
      <w:pPr>
        <w:pStyle w:val="BodyText"/>
      </w:pPr>
    </w:p>
    <w:p>
      <w:pPr>
        <w:pStyle w:val="BodyText"/>
        <w:ind w:left="305" w:right="274"/>
        <w:jc w:val="both"/>
      </w:pPr>
      <w:r>
        <w:rPr/>
        <w:t>QUART.- Obrir un període d’informació pública durant un termini de quinze dies mitjançant la publicació de l’edicte corresponent en el butlletí oficial de la província, en un dels diaris de més difusió i al tauler d’anuncis electrònic de</w:t>
      </w:r>
      <w:r>
        <w:rPr>
          <w:spacing w:val="-14"/>
        </w:rPr>
        <w:t> </w:t>
      </w:r>
      <w:r>
        <w:rPr/>
        <w:t>l’ajuntament.</w:t>
      </w:r>
    </w:p>
    <w:p>
      <w:pPr>
        <w:pStyle w:val="BodyText"/>
        <w:spacing w:before="1"/>
      </w:pPr>
    </w:p>
    <w:p>
      <w:pPr>
        <w:pStyle w:val="BodyText"/>
        <w:ind w:left="305" w:right="274"/>
        <w:jc w:val="both"/>
      </w:pPr>
      <w:r>
        <w:rPr/>
        <w:t>CINQUÈ.- Notificar l’acord individualment als interessats afectats, als efectes que puguin aportar les dades necessàries que permetin rectificar els possibles errors que s’estimin comesos en la relació o, si ho consideren oportú oposar-se a l’ocupació dels béns per motius de forma o fons que han de fonamentar adequadament.</w:t>
      </w:r>
    </w:p>
    <w:p>
      <w:pPr>
        <w:pStyle w:val="BodyText"/>
      </w:pPr>
    </w:p>
    <w:p>
      <w:pPr>
        <w:pStyle w:val="BodyText"/>
        <w:ind w:left="305" w:right="269"/>
        <w:jc w:val="both"/>
      </w:pPr>
      <w:r>
        <w:rPr/>
        <w:t>SISÈ.- Facultar a l’Alcalde-president, Sr. Ramon Roqué i Riu perquè subscrigui tots els documents, públics o privats, que siguin necessaris per al desenvolupament dels  presents</w:t>
      </w:r>
      <w:r>
        <w:rPr>
          <w:spacing w:val="-2"/>
        </w:rPr>
        <w:t> </w:t>
      </w:r>
      <w:r>
        <w:rPr/>
        <w:t>acords.</w:t>
      </w:r>
    </w:p>
    <w:p>
      <w:pPr>
        <w:pStyle w:val="BodyText"/>
        <w:spacing w:before="10"/>
        <w:rPr>
          <w:sz w:val="21"/>
        </w:rPr>
      </w:pPr>
    </w:p>
    <w:p>
      <w:pPr>
        <w:pStyle w:val="BodyText"/>
        <w:ind w:left="3845"/>
      </w:pPr>
      <w:r>
        <w:rPr/>
        <w:t>ANNEXE</w:t>
      </w:r>
    </w:p>
    <w:p>
      <w:pPr>
        <w:pStyle w:val="BodyText"/>
      </w:pPr>
    </w:p>
    <w:p>
      <w:pPr>
        <w:pStyle w:val="BodyText"/>
        <w:spacing w:before="1"/>
        <w:ind w:left="305" w:right="277"/>
        <w:jc w:val="both"/>
      </w:pPr>
      <w:r>
        <w:rPr/>
        <w:t>Relació concreta i individualitzada de béns i drets afectats pel present procediment d´expropiació forçosa:</w:t>
      </w:r>
    </w:p>
    <w:p>
      <w:pPr>
        <w:spacing w:after="0"/>
        <w:jc w:val="both"/>
        <w:sectPr>
          <w:footerReference w:type="default" r:id="rId7"/>
          <w:pgSz w:w="11910" w:h="16840"/>
          <w:pgMar w:footer="0" w:header="766"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1096"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sz w:val="19"/>
        </w:rPr>
      </w:pPr>
    </w:p>
    <w:p>
      <w:pPr>
        <w:pStyle w:val="BodyText"/>
        <w:tabs>
          <w:tab w:pos="3845" w:val="left" w:leader="none"/>
          <w:tab w:pos="7345" w:val="left" w:leader="none"/>
        </w:tabs>
        <w:spacing w:before="94"/>
        <w:ind w:left="3845" w:right="272" w:hanging="2833"/>
      </w:pPr>
      <w:r>
        <w:rPr>
          <w:u w:val="single"/>
        </w:rPr>
        <w:t>Titulars</w:t>
      </w:r>
      <w:r>
        <w:rPr/>
        <w:t>:</w:t>
        <w:tab/>
        <w:t>Maria  Concepció</w:t>
      </w:r>
      <w:r>
        <w:rPr>
          <w:spacing w:val="23"/>
        </w:rPr>
        <w:t> </w:t>
      </w:r>
      <w:r>
        <w:rPr/>
        <w:t>Sala</w:t>
      </w:r>
      <w:r>
        <w:rPr>
          <w:spacing w:val="43"/>
        </w:rPr>
        <w:t> </w:t>
      </w:r>
      <w:r>
        <w:rPr/>
        <w:t>Bellapart,</w:t>
        <w:tab/>
        <w:t>amb NIF número 40555680X</w:t>
      </w:r>
    </w:p>
    <w:p>
      <w:pPr>
        <w:pStyle w:val="BodyText"/>
        <w:spacing w:before="11"/>
        <w:rPr>
          <w:sz w:val="21"/>
        </w:rPr>
      </w:pPr>
    </w:p>
    <w:p>
      <w:pPr>
        <w:pStyle w:val="BodyText"/>
        <w:tabs>
          <w:tab w:pos="3845" w:val="left" w:leader="none"/>
        </w:tabs>
        <w:ind w:left="1013"/>
      </w:pPr>
      <w:r>
        <w:rPr>
          <w:u w:val="single"/>
        </w:rPr>
        <w:t>Emplaçament</w:t>
      </w:r>
      <w:r>
        <w:rPr/>
        <w:t>:</w:t>
        <w:tab/>
        <w:t>Zona Plaça Barcelona / Sector</w:t>
      </w:r>
      <w:r>
        <w:rPr>
          <w:spacing w:val="-8"/>
        </w:rPr>
        <w:t> </w:t>
      </w:r>
      <w:r>
        <w:rPr/>
        <w:t>Escorxador</w:t>
      </w:r>
    </w:p>
    <w:p>
      <w:pPr>
        <w:pStyle w:val="BodyText"/>
        <w:spacing w:before="10"/>
        <w:rPr>
          <w:sz w:val="13"/>
        </w:rPr>
      </w:pPr>
    </w:p>
    <w:p>
      <w:pPr>
        <w:pStyle w:val="BodyText"/>
        <w:tabs>
          <w:tab w:pos="3845" w:val="left" w:leader="none"/>
        </w:tabs>
        <w:spacing w:before="94"/>
        <w:ind w:left="1013"/>
      </w:pPr>
      <w:r>
        <w:rPr>
          <w:u w:val="single"/>
        </w:rPr>
        <w:t>Naturalesa</w:t>
      </w:r>
      <w:r>
        <w:rPr>
          <w:spacing w:val="-4"/>
          <w:u w:val="single"/>
        </w:rPr>
        <w:t> </w:t>
      </w:r>
      <w:r>
        <w:rPr>
          <w:u w:val="single"/>
        </w:rPr>
        <w:t>finca</w:t>
      </w:r>
      <w:r>
        <w:rPr/>
        <w:t>:</w:t>
        <w:tab/>
        <w:t>Finca situada en sol</w:t>
      </w:r>
      <w:r>
        <w:rPr>
          <w:spacing w:val="-4"/>
        </w:rPr>
        <w:t> </w:t>
      </w:r>
      <w:r>
        <w:rPr/>
        <w:t>urbà</w:t>
      </w:r>
    </w:p>
    <w:p>
      <w:pPr>
        <w:pStyle w:val="BodyText"/>
        <w:spacing w:before="10"/>
        <w:rPr>
          <w:sz w:val="13"/>
        </w:rPr>
      </w:pPr>
    </w:p>
    <w:p>
      <w:pPr>
        <w:pStyle w:val="BodyText"/>
        <w:tabs>
          <w:tab w:pos="3845" w:val="left" w:leader="none"/>
        </w:tabs>
        <w:spacing w:before="94"/>
        <w:ind w:left="1013"/>
      </w:pPr>
      <w:r>
        <w:rPr>
          <w:u w:val="single"/>
        </w:rPr>
        <w:t>Qualificació</w:t>
      </w:r>
      <w:r>
        <w:rPr>
          <w:spacing w:val="-4"/>
          <w:u w:val="single"/>
        </w:rPr>
        <w:t> </w:t>
      </w:r>
      <w:r>
        <w:rPr>
          <w:u w:val="single"/>
        </w:rPr>
        <w:t>urbanística</w:t>
      </w:r>
      <w:r>
        <w:rPr/>
        <w:t>:</w:t>
        <w:tab/>
        <w:t>Sistema d´espais lliures -</w:t>
      </w:r>
      <w:r>
        <w:rPr>
          <w:spacing w:val="0"/>
        </w:rPr>
        <w:t> </w:t>
      </w:r>
      <w:r>
        <w:rPr/>
        <w:t>vialitat</w:t>
      </w:r>
    </w:p>
    <w:p>
      <w:pPr>
        <w:pStyle w:val="BodyText"/>
        <w:rPr>
          <w:sz w:val="20"/>
        </w:rPr>
      </w:pPr>
    </w:p>
    <w:p>
      <w:pPr>
        <w:pStyle w:val="BodyText"/>
        <w:spacing w:before="10"/>
        <w:rPr>
          <w:sz w:val="15"/>
        </w:rPr>
      </w:pPr>
    </w:p>
    <w:p>
      <w:pPr>
        <w:pStyle w:val="BodyText"/>
        <w:tabs>
          <w:tab w:pos="3845" w:val="left" w:leader="none"/>
        </w:tabs>
        <w:spacing w:line="252" w:lineRule="exact" w:before="93"/>
        <w:ind w:left="1013"/>
      </w:pPr>
      <w:r>
        <w:rPr>
          <w:u w:val="single"/>
        </w:rPr>
        <w:t>Inscripció</w:t>
      </w:r>
      <w:r>
        <w:rPr>
          <w:spacing w:val="-5"/>
          <w:u w:val="single"/>
        </w:rPr>
        <w:t> </w:t>
      </w:r>
      <w:r>
        <w:rPr>
          <w:u w:val="single"/>
        </w:rPr>
        <w:t>registral</w:t>
      </w:r>
      <w:r>
        <w:rPr/>
        <w:t>:</w:t>
        <w:tab/>
        <w:t>Finca</w:t>
      </w:r>
      <w:r>
        <w:rPr>
          <w:spacing w:val="12"/>
        </w:rPr>
        <w:t> </w:t>
      </w:r>
      <w:r>
        <w:rPr/>
        <w:t>registral</w:t>
      </w:r>
      <w:r>
        <w:rPr>
          <w:spacing w:val="12"/>
        </w:rPr>
        <w:t> </w:t>
      </w:r>
      <w:r>
        <w:rPr/>
        <w:t>número</w:t>
      </w:r>
      <w:r>
        <w:rPr>
          <w:spacing w:val="10"/>
        </w:rPr>
        <w:t> </w:t>
      </w:r>
      <w:r>
        <w:rPr/>
        <w:t>213</w:t>
      </w:r>
      <w:r>
        <w:rPr>
          <w:spacing w:val="13"/>
        </w:rPr>
        <w:t> </w:t>
      </w:r>
      <w:r>
        <w:rPr/>
        <w:t>de</w:t>
      </w:r>
      <w:r>
        <w:rPr>
          <w:spacing w:val="12"/>
        </w:rPr>
        <w:t> </w:t>
      </w:r>
      <w:r>
        <w:rPr/>
        <w:t>Sant</w:t>
      </w:r>
      <w:r>
        <w:rPr>
          <w:spacing w:val="15"/>
        </w:rPr>
        <w:t> </w:t>
      </w:r>
      <w:r>
        <w:rPr/>
        <w:t>Joan</w:t>
      </w:r>
      <w:r>
        <w:rPr>
          <w:spacing w:val="13"/>
        </w:rPr>
        <w:t> </w:t>
      </w:r>
      <w:r>
        <w:rPr/>
        <w:t>de</w:t>
      </w:r>
      <w:r>
        <w:rPr>
          <w:spacing w:val="13"/>
        </w:rPr>
        <w:t> </w:t>
      </w:r>
      <w:r>
        <w:rPr/>
        <w:t>les</w:t>
      </w:r>
    </w:p>
    <w:p>
      <w:pPr>
        <w:pStyle w:val="BodyText"/>
        <w:ind w:left="3845"/>
      </w:pPr>
      <w:r>
        <w:rPr/>
        <w:t>Abadesses, inscrita al tom 108, llibre 3, foli 190i inscripció 4ª del Registre de la Propietat de Ripoll.</w:t>
      </w:r>
    </w:p>
    <w:p>
      <w:pPr>
        <w:pStyle w:val="BodyText"/>
        <w:spacing w:before="2"/>
      </w:pPr>
    </w:p>
    <w:p>
      <w:pPr>
        <w:pStyle w:val="BodyText"/>
        <w:ind w:left="305"/>
      </w:pPr>
      <w:r>
        <w:rPr/>
        <w:t>S´adjunta planell on s´assenyala la finca a expropiar.</w:t>
      </w:r>
    </w:p>
    <w:p>
      <w:pPr>
        <w:pStyle w:val="BodyText"/>
        <w:spacing w:before="2"/>
        <w:rPr>
          <w:sz w:val="15"/>
        </w:rPr>
      </w:pPr>
      <w:r>
        <w:rPr/>
        <w:drawing>
          <wp:anchor distT="0" distB="0" distL="0" distR="0" allowOverlap="1" layoutInCell="1" locked="0" behindDoc="0" simplePos="0" relativeHeight="1072">
            <wp:simplePos x="0" y="0"/>
            <wp:positionH relativeFrom="page">
              <wp:posOffset>1257300</wp:posOffset>
            </wp:positionH>
            <wp:positionV relativeFrom="paragraph">
              <wp:posOffset>135921</wp:posOffset>
            </wp:positionV>
            <wp:extent cx="5049412" cy="3850766"/>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9" cstate="print"/>
                    <a:stretch>
                      <a:fillRect/>
                    </a:stretch>
                  </pic:blipFill>
                  <pic:spPr>
                    <a:xfrm>
                      <a:off x="0" y="0"/>
                      <a:ext cx="5049412" cy="3850766"/>
                    </a:xfrm>
                    <a:prstGeom prst="rect">
                      <a:avLst/>
                    </a:prstGeom>
                  </pic:spPr>
                </pic:pic>
              </a:graphicData>
            </a:graphic>
          </wp:anchor>
        </w:drawing>
      </w:r>
    </w:p>
    <w:p>
      <w:pPr>
        <w:pStyle w:val="BodyText"/>
        <w:rPr>
          <w:sz w:val="24"/>
        </w:rPr>
      </w:pPr>
    </w:p>
    <w:p>
      <w:pPr>
        <w:pStyle w:val="BodyText"/>
        <w:rPr>
          <w:sz w:val="24"/>
        </w:rPr>
      </w:pPr>
    </w:p>
    <w:p>
      <w:pPr>
        <w:pStyle w:val="BodyText"/>
        <w:spacing w:before="2"/>
        <w:rPr>
          <w:sz w:val="19"/>
        </w:rPr>
      </w:pPr>
    </w:p>
    <w:p>
      <w:pPr>
        <w:pStyle w:val="Heading1"/>
        <w:ind w:right="270"/>
      </w:pPr>
      <w:r>
        <w:rPr/>
        <w:t>3.- APROVACIÓ TEXT REFÓS DE LA MODIFICACIÓ PUNTUAL 1/2018 DEL POUM  DE SANT JOAN DE LES ABADESSES RELATIU </w:t>
      </w:r>
      <w:r>
        <w:rPr>
          <w:spacing w:val="-3"/>
        </w:rPr>
        <w:t>AL </w:t>
      </w:r>
      <w:r>
        <w:rPr/>
        <w:t>POLÍGON PA4 DEL SECTOR DEL MOLÍ</w:t>
      </w:r>
      <w:r>
        <w:rPr>
          <w:spacing w:val="-2"/>
        </w:rPr>
        <w:t> </w:t>
      </w:r>
      <w:r>
        <w:rPr/>
        <w:t>PETIT</w:t>
      </w:r>
    </w:p>
    <w:p>
      <w:pPr>
        <w:spacing w:after="0"/>
        <w:sectPr>
          <w:footerReference w:type="default" r:id="rId8"/>
          <w:pgSz w:w="11910" w:h="16840"/>
          <w:pgMar w:footer="2271" w:header="766" w:top="1920" w:bottom="2460" w:left="1680" w:right="860"/>
        </w:sectPr>
      </w:pPr>
    </w:p>
    <w:p>
      <w:pPr>
        <w:pStyle w:val="BodyText"/>
        <w:rPr>
          <w:b/>
          <w:sz w:val="20"/>
        </w:rPr>
      </w:pPr>
      <w:r>
        <w:rPr/>
        <w:pict>
          <v:shape style="position:absolute;margin-left:46.0816pt;margin-top:295.227448pt;width:11pt;height:413.3pt;mso-position-horizontal-relative:page;mso-position-vertical-relative:page;z-index:1120"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b/>
          <w:sz w:val="19"/>
        </w:rPr>
      </w:pPr>
    </w:p>
    <w:p>
      <w:pPr>
        <w:pStyle w:val="BodyText"/>
        <w:spacing w:before="94"/>
        <w:ind w:left="305" w:right="276"/>
        <w:jc w:val="both"/>
      </w:pPr>
      <w:r>
        <w:rPr/>
        <w:t>Atès l´acord adoptat pel Plenari Municipal en sessió celebrada en data 1 de juny de 2018, mitjançant el qual va aprovar provisionalment la modificació puntual 1/2018 del POUM de Sant Joan de les Abadesses, relativa al polígon PA4 del sector del Molí Petit de Sant Joan de les</w:t>
      </w:r>
      <w:r>
        <w:rPr>
          <w:spacing w:val="-3"/>
        </w:rPr>
        <w:t> </w:t>
      </w:r>
      <w:r>
        <w:rPr/>
        <w:t>Abadesses.</w:t>
      </w:r>
    </w:p>
    <w:p>
      <w:pPr>
        <w:pStyle w:val="BodyText"/>
      </w:pPr>
    </w:p>
    <w:p>
      <w:pPr>
        <w:pStyle w:val="BodyText"/>
        <w:ind w:left="305" w:right="271"/>
        <w:jc w:val="both"/>
      </w:pPr>
      <w:r>
        <w:rPr/>
        <w:t>Atesa la necessitat de modificar l´esmentat acord de conformitat amb les directrius de la Comissió Territorial d´Urbanisme de Girona, amb la finalitat de:</w:t>
      </w:r>
    </w:p>
    <w:p>
      <w:pPr>
        <w:pStyle w:val="BodyText"/>
        <w:spacing w:before="11"/>
        <w:rPr>
          <w:sz w:val="21"/>
        </w:rPr>
      </w:pPr>
    </w:p>
    <w:p>
      <w:pPr>
        <w:pStyle w:val="ListParagraph"/>
        <w:numPr>
          <w:ilvl w:val="0"/>
          <w:numId w:val="1"/>
        </w:numPr>
        <w:tabs>
          <w:tab w:pos="1014" w:val="left" w:leader="none"/>
        </w:tabs>
        <w:spacing w:line="242" w:lineRule="auto" w:before="0" w:after="0"/>
        <w:ind w:left="1025" w:right="280" w:hanging="360"/>
        <w:jc w:val="both"/>
        <w:rPr>
          <w:sz w:val="22"/>
        </w:rPr>
      </w:pPr>
      <w:r>
        <w:rPr>
          <w:sz w:val="22"/>
        </w:rPr>
        <w:t>Afegir decimals de percentatges corresponents a les superfícies, passant de 2 a 4 decimals.</w:t>
      </w:r>
    </w:p>
    <w:p>
      <w:pPr>
        <w:pStyle w:val="BodyText"/>
        <w:spacing w:before="6"/>
        <w:rPr>
          <w:sz w:val="21"/>
        </w:rPr>
      </w:pPr>
    </w:p>
    <w:p>
      <w:pPr>
        <w:pStyle w:val="ListParagraph"/>
        <w:numPr>
          <w:ilvl w:val="0"/>
          <w:numId w:val="1"/>
        </w:numPr>
        <w:tabs>
          <w:tab w:pos="1014" w:val="left" w:leader="none"/>
        </w:tabs>
        <w:spacing w:line="240" w:lineRule="auto" w:before="0" w:after="0"/>
        <w:ind w:left="1025" w:right="272" w:hanging="360"/>
        <w:jc w:val="both"/>
        <w:rPr>
          <w:sz w:val="22"/>
        </w:rPr>
      </w:pPr>
      <w:r>
        <w:rPr>
          <w:sz w:val="22"/>
        </w:rPr>
        <w:t>Afegir un plànol de superposició a la proposta d´ordenació amb el plànol topogràfic.</w:t>
      </w:r>
    </w:p>
    <w:p>
      <w:pPr>
        <w:pStyle w:val="BodyText"/>
        <w:spacing w:before="2"/>
      </w:pPr>
    </w:p>
    <w:p>
      <w:pPr>
        <w:pStyle w:val="ListParagraph"/>
        <w:numPr>
          <w:ilvl w:val="0"/>
          <w:numId w:val="1"/>
        </w:numPr>
        <w:tabs>
          <w:tab w:pos="1013" w:val="left" w:leader="none"/>
          <w:tab w:pos="1014" w:val="left" w:leader="none"/>
        </w:tabs>
        <w:spacing w:line="240" w:lineRule="auto" w:before="0" w:after="0"/>
        <w:ind w:left="1025" w:right="0" w:hanging="360"/>
        <w:jc w:val="left"/>
        <w:rPr>
          <w:sz w:val="22"/>
        </w:rPr>
      </w:pPr>
      <w:r>
        <w:rPr>
          <w:sz w:val="22"/>
        </w:rPr>
        <w:t>Annexar la Delimitació Poligonal</w:t>
      </w:r>
      <w:r>
        <w:rPr>
          <w:spacing w:val="-2"/>
          <w:sz w:val="22"/>
        </w:rPr>
        <w:t> </w:t>
      </w:r>
      <w:r>
        <w:rPr>
          <w:sz w:val="22"/>
        </w:rPr>
        <w:t>d´Actuació.</w:t>
      </w:r>
    </w:p>
    <w:p>
      <w:pPr>
        <w:pStyle w:val="BodyText"/>
        <w:spacing w:before="10"/>
        <w:rPr>
          <w:sz w:val="21"/>
        </w:rPr>
      </w:pPr>
    </w:p>
    <w:p>
      <w:pPr>
        <w:pStyle w:val="ListParagraph"/>
        <w:numPr>
          <w:ilvl w:val="0"/>
          <w:numId w:val="1"/>
        </w:numPr>
        <w:tabs>
          <w:tab w:pos="1014" w:val="left" w:leader="none"/>
        </w:tabs>
        <w:spacing w:line="240" w:lineRule="auto" w:before="0" w:after="0"/>
        <w:ind w:left="1025" w:right="278" w:hanging="360"/>
        <w:jc w:val="both"/>
        <w:rPr>
          <w:sz w:val="22"/>
        </w:rPr>
      </w:pPr>
      <w:r>
        <w:rPr>
          <w:sz w:val="22"/>
        </w:rPr>
        <w:t>Afegir un apartat de “Justificació qualitativa i quantitativa de les zones verdes” per tal de justificar aquestes</w:t>
      </w:r>
      <w:r>
        <w:rPr>
          <w:spacing w:val="-7"/>
          <w:sz w:val="22"/>
        </w:rPr>
        <w:t> </w:t>
      </w:r>
      <w:r>
        <w:rPr>
          <w:sz w:val="22"/>
        </w:rPr>
        <w:t>modificacions.</w:t>
      </w:r>
    </w:p>
    <w:p>
      <w:pPr>
        <w:pStyle w:val="BodyText"/>
        <w:spacing w:before="1"/>
      </w:pPr>
    </w:p>
    <w:p>
      <w:pPr>
        <w:pStyle w:val="BodyText"/>
        <w:spacing w:before="1"/>
        <w:ind w:left="305" w:right="273"/>
        <w:jc w:val="both"/>
      </w:pPr>
      <w:r>
        <w:rPr/>
        <w:t>Vist el text refós redactat a tal efecte per l´arquitecte, Sr. Marc Grifell Vera, el qual incorpora a la modificació puntual 1/2018 del POUM de Sant Joan de les Abadesses, les modificacions acabades d´esmentar</w:t>
      </w:r>
    </w:p>
    <w:p>
      <w:pPr>
        <w:pStyle w:val="BodyText"/>
        <w:rPr>
          <w:sz w:val="24"/>
        </w:rPr>
      </w:pPr>
    </w:p>
    <w:p>
      <w:pPr>
        <w:pStyle w:val="BodyText"/>
        <w:rPr>
          <w:sz w:val="20"/>
        </w:rPr>
      </w:pPr>
    </w:p>
    <w:p>
      <w:pPr>
        <w:pStyle w:val="BodyText"/>
        <w:ind w:left="305"/>
        <w:jc w:val="both"/>
      </w:pPr>
      <w:r>
        <w:rPr/>
        <w:t>És pel que es proposa al Plenari Municipal l´ adopció dels següents ACORDS:</w:t>
      </w:r>
    </w:p>
    <w:p>
      <w:pPr>
        <w:pStyle w:val="BodyText"/>
        <w:spacing w:before="9"/>
        <w:rPr>
          <w:sz w:val="21"/>
        </w:rPr>
      </w:pPr>
    </w:p>
    <w:p>
      <w:pPr>
        <w:pStyle w:val="BodyText"/>
        <w:spacing w:before="1"/>
        <w:ind w:left="305" w:right="274"/>
        <w:jc w:val="both"/>
      </w:pPr>
      <w:r>
        <w:rPr/>
        <w:t>PRIMER.- APROVAR el Text Refós de la modificació puntual 1/2018 del POUM de Sant Joan de les Abadesses relatiu al polígon PA4 del sector del Molí Petit, redactat per l´arquitecte. Sr. Marc Grifell Vera, en els termes que consta a l´expedient.</w:t>
      </w:r>
    </w:p>
    <w:p>
      <w:pPr>
        <w:pStyle w:val="BodyText"/>
      </w:pPr>
    </w:p>
    <w:p>
      <w:pPr>
        <w:pStyle w:val="BodyText"/>
        <w:ind w:left="305"/>
        <w:jc w:val="both"/>
      </w:pPr>
      <w:r>
        <w:rPr/>
        <w:t>SEGON.- COMUNICAR el present acord a la Comissió Territorial d´Urbanisme a Girona.</w:t>
      </w:r>
    </w:p>
    <w:p>
      <w:pPr>
        <w:pStyle w:val="BodyText"/>
        <w:rPr>
          <w:sz w:val="24"/>
        </w:rPr>
      </w:pPr>
    </w:p>
    <w:p>
      <w:pPr>
        <w:pStyle w:val="BodyText"/>
        <w:spacing w:before="9"/>
        <w:rPr>
          <w:sz w:val="19"/>
        </w:rPr>
      </w:pPr>
    </w:p>
    <w:p>
      <w:pPr>
        <w:pStyle w:val="Heading1"/>
        <w:ind w:right="279"/>
      </w:pPr>
      <w:r>
        <w:rPr/>
        <w:t>4.-APROVACIÓ INICIAL MODIFICACIÓ PUNTUAL POUM SECTOR MARE DE DEU DEL PRAT I CAMÍ DELCEMENTIRI</w:t>
      </w:r>
    </w:p>
    <w:p>
      <w:pPr>
        <w:pStyle w:val="BodyText"/>
        <w:spacing w:before="5"/>
        <w:rPr>
          <w:b/>
        </w:rPr>
      </w:pPr>
    </w:p>
    <w:p>
      <w:pPr>
        <w:pStyle w:val="BodyText"/>
        <w:ind w:left="6500" w:right="269" w:firstLine="1541"/>
        <w:jc w:val="both"/>
      </w:pPr>
      <w:r>
        <w:rPr/>
        <w:t>Òrgan: Ple Caràcter: Sessió Ordinària Data: 20 de juliol de 2018</w:t>
      </w:r>
    </w:p>
    <w:p>
      <w:pPr>
        <w:pStyle w:val="BodyText"/>
        <w:spacing w:line="252" w:lineRule="exact"/>
        <w:ind w:left="4076"/>
      </w:pPr>
      <w:r>
        <w:rPr/>
        <w:t>Expedient núm. X2018000760 - 2296-000006-2018</w:t>
      </w:r>
    </w:p>
    <w:p>
      <w:pPr>
        <w:pStyle w:val="BodyText"/>
        <w:spacing w:line="252" w:lineRule="exact"/>
        <w:ind w:left="6841"/>
      </w:pPr>
      <w:r>
        <w:rPr/>
        <w:t>Aprovat per Unanimitat</w:t>
      </w:r>
    </w:p>
    <w:p>
      <w:pPr>
        <w:pStyle w:val="BodyText"/>
        <w:rPr>
          <w:sz w:val="24"/>
        </w:rPr>
      </w:pPr>
    </w:p>
    <w:p>
      <w:pPr>
        <w:pStyle w:val="BodyText"/>
        <w:spacing w:before="11"/>
        <w:rPr>
          <w:sz w:val="19"/>
        </w:rPr>
      </w:pPr>
    </w:p>
    <w:p>
      <w:pPr>
        <w:pStyle w:val="BodyText"/>
        <w:ind w:left="305" w:right="270"/>
        <w:jc w:val="both"/>
      </w:pPr>
      <w:r>
        <w:rPr/>
        <w:t>Al mes de desembre de 2016 es va redactar el PMU de la parcel.la situada a la cantonada del carrer Mare de Déu del Prat amb el Camí del cementiri amb l’objectiu principal de donar tractament unitari als edificis que donen front a la Plaça Ciutat de Barcelona</w:t>
      </w:r>
      <w:r>
        <w:rPr>
          <w:spacing w:val="-4"/>
        </w:rPr>
        <w:t> </w:t>
      </w:r>
      <w:r>
        <w:rPr/>
        <w:t>dels</w:t>
      </w:r>
      <w:r>
        <w:rPr>
          <w:spacing w:val="-5"/>
        </w:rPr>
        <w:t> </w:t>
      </w:r>
      <w:r>
        <w:rPr/>
        <w:t>que</w:t>
      </w:r>
      <w:r>
        <w:rPr>
          <w:spacing w:val="-5"/>
        </w:rPr>
        <w:t> </w:t>
      </w:r>
      <w:r>
        <w:rPr/>
        <w:t>resta</w:t>
      </w:r>
      <w:r>
        <w:rPr>
          <w:spacing w:val="-5"/>
        </w:rPr>
        <w:t> </w:t>
      </w:r>
      <w:r>
        <w:rPr/>
        <w:t>exclusivament</w:t>
      </w:r>
      <w:r>
        <w:rPr>
          <w:spacing w:val="-3"/>
        </w:rPr>
        <w:t> </w:t>
      </w:r>
      <w:r>
        <w:rPr/>
        <w:t>per</w:t>
      </w:r>
      <w:r>
        <w:rPr>
          <w:spacing w:val="-3"/>
        </w:rPr>
        <w:t> </w:t>
      </w:r>
      <w:r>
        <w:rPr/>
        <w:t>edificar</w:t>
      </w:r>
      <w:r>
        <w:rPr>
          <w:spacing w:val="-3"/>
        </w:rPr>
        <w:t> </w:t>
      </w:r>
      <w:r>
        <w:rPr/>
        <w:t>el</w:t>
      </w:r>
      <w:r>
        <w:rPr>
          <w:spacing w:val="-6"/>
        </w:rPr>
        <w:t> </w:t>
      </w:r>
      <w:r>
        <w:rPr/>
        <w:t>que</w:t>
      </w:r>
      <w:r>
        <w:rPr>
          <w:spacing w:val="-5"/>
        </w:rPr>
        <w:t> </w:t>
      </w:r>
      <w:r>
        <w:rPr/>
        <w:t>s’ubicarà</w:t>
      </w:r>
      <w:r>
        <w:rPr>
          <w:spacing w:val="-3"/>
        </w:rPr>
        <w:t> </w:t>
      </w:r>
      <w:r>
        <w:rPr/>
        <w:t>dins</w:t>
      </w:r>
      <w:r>
        <w:rPr>
          <w:spacing w:val="-5"/>
        </w:rPr>
        <w:t> </w:t>
      </w:r>
      <w:r>
        <w:rPr/>
        <w:t>l’àmbit</w:t>
      </w:r>
      <w:r>
        <w:rPr>
          <w:spacing w:val="-2"/>
        </w:rPr>
        <w:t> </w:t>
      </w:r>
      <w:r>
        <w:rPr/>
        <w:t>del</w:t>
      </w:r>
      <w:r>
        <w:rPr>
          <w:spacing w:val="-6"/>
        </w:rPr>
        <w:t> </w:t>
      </w:r>
      <w:r>
        <w:rPr/>
        <w:t>PMU.</w:t>
      </w:r>
    </w:p>
    <w:p>
      <w:pPr>
        <w:pStyle w:val="BodyText"/>
      </w:pPr>
    </w:p>
    <w:p>
      <w:pPr>
        <w:pStyle w:val="BodyText"/>
        <w:ind w:left="305" w:right="280"/>
        <w:jc w:val="both"/>
      </w:pPr>
      <w:r>
        <w:rPr/>
        <w:t>Aquest Pla de Millora Urbana, es va aprovar definitivament en data 28/07/2017 i es va publicar al BOP el 08/08/2017, però no va resoldre dos aspectes:</w:t>
      </w:r>
    </w:p>
    <w:p>
      <w:pPr>
        <w:pStyle w:val="BodyText"/>
        <w:spacing w:before="2"/>
      </w:pPr>
    </w:p>
    <w:p>
      <w:pPr>
        <w:pStyle w:val="ListParagraph"/>
        <w:numPr>
          <w:ilvl w:val="0"/>
          <w:numId w:val="1"/>
        </w:numPr>
        <w:tabs>
          <w:tab w:pos="1014" w:val="left" w:leader="none"/>
        </w:tabs>
        <w:spacing w:line="240" w:lineRule="auto" w:before="0" w:after="0"/>
        <w:ind w:left="1025" w:right="277" w:hanging="360"/>
        <w:jc w:val="both"/>
        <w:rPr>
          <w:sz w:val="22"/>
        </w:rPr>
      </w:pPr>
      <w:r>
        <w:rPr>
          <w:sz w:val="22"/>
        </w:rPr>
        <w:t>La unió entre el futur edifici residencial amb front a la Plaça de PB+3PP i el futur edifici industrial del Camí del Cementiri, ja que aquest no permeti obertures a la façana posterior del primer.</w:t>
      </w:r>
    </w:p>
    <w:p>
      <w:pPr>
        <w:spacing w:after="0" w:line="240" w:lineRule="auto"/>
        <w:jc w:val="both"/>
        <w:rPr>
          <w:sz w:val="22"/>
        </w:rPr>
        <w:sectPr>
          <w:footerReference w:type="default" r:id="rId10"/>
          <w:pgSz w:w="11910" w:h="16840"/>
          <w:pgMar w:footer="0" w:header="766"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1144"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rPr>
          <w:sz w:val="20"/>
        </w:rPr>
      </w:pPr>
    </w:p>
    <w:p>
      <w:pPr>
        <w:pStyle w:val="BodyText"/>
        <w:spacing w:before="6"/>
        <w:rPr>
          <w:sz w:val="21"/>
        </w:rPr>
      </w:pPr>
    </w:p>
    <w:p>
      <w:pPr>
        <w:pStyle w:val="ListParagraph"/>
        <w:numPr>
          <w:ilvl w:val="0"/>
          <w:numId w:val="1"/>
        </w:numPr>
        <w:tabs>
          <w:tab w:pos="1013" w:val="left" w:leader="none"/>
          <w:tab w:pos="1014" w:val="left" w:leader="none"/>
        </w:tabs>
        <w:spacing w:line="240" w:lineRule="auto" w:before="94" w:after="0"/>
        <w:ind w:left="1025" w:right="275" w:hanging="360"/>
        <w:jc w:val="left"/>
        <w:rPr>
          <w:sz w:val="22"/>
        </w:rPr>
      </w:pPr>
      <w:r>
        <w:rPr>
          <w:sz w:val="22"/>
        </w:rPr>
        <w:t>Que la pèrdua d’espai necessària per garantir la porxada unitària no possibilita la dotació d’una plaça d’aparcament necessària per cada</w:t>
      </w:r>
      <w:r>
        <w:rPr>
          <w:spacing w:val="-9"/>
          <w:sz w:val="22"/>
        </w:rPr>
        <w:t> </w:t>
      </w:r>
      <w:r>
        <w:rPr>
          <w:sz w:val="22"/>
        </w:rPr>
        <w:t>habitatge.</w:t>
      </w:r>
    </w:p>
    <w:p>
      <w:pPr>
        <w:pStyle w:val="BodyText"/>
        <w:spacing w:before="11"/>
        <w:rPr>
          <w:sz w:val="21"/>
        </w:rPr>
      </w:pPr>
    </w:p>
    <w:p>
      <w:pPr>
        <w:pStyle w:val="BodyText"/>
        <w:ind w:left="305" w:right="271"/>
        <w:jc w:val="both"/>
      </w:pPr>
      <w:r>
        <w:rPr/>
        <w:t>A l’efecte de delimitar adequadament es zones, establir l’alineació del porxo a la plaça i fixar l’alçada obligatòria, tant a façana de la plaça com a la part posterior, s’ha redactat la present Modificació Puntual del Pla d’Ordenació Urbanística Municipal de Sant Joan de les Abadesses que deixarà sense efecte el PMU</w:t>
      </w:r>
      <w:r>
        <w:rPr>
          <w:spacing w:val="-10"/>
        </w:rPr>
        <w:t> </w:t>
      </w:r>
      <w:r>
        <w:rPr/>
        <w:t>aprovat.</w:t>
      </w:r>
    </w:p>
    <w:p>
      <w:pPr>
        <w:pStyle w:val="BodyText"/>
        <w:spacing w:before="3"/>
      </w:pPr>
    </w:p>
    <w:p>
      <w:pPr>
        <w:pStyle w:val="BodyText"/>
        <w:ind w:left="305" w:right="270"/>
        <w:jc w:val="both"/>
      </w:pPr>
      <w:r>
        <w:rPr/>
        <w:t>Atès el que estableix la legislació específica aplicable formada pel Text Refós de la Llei d’Urbanisme de Catalunya 1/2010, de 3 d’agost i el De</w:t>
      </w:r>
      <w:r>
        <w:rPr>
          <w:color w:val="212121"/>
        </w:rPr>
        <w:t>cret 305/2006, de 18 de juliol, pel qual s'aprova el Reglament de la Llei d'urbanisme, així com el Text refós de la Llei Municipal i de Règim Local de Catalunya, aprovada pel Decret 2/2003, de 28 d’abril.</w:t>
      </w:r>
    </w:p>
    <w:p>
      <w:pPr>
        <w:pStyle w:val="BodyText"/>
        <w:rPr>
          <w:sz w:val="24"/>
        </w:rPr>
      </w:pPr>
    </w:p>
    <w:p>
      <w:pPr>
        <w:pStyle w:val="BodyText"/>
        <w:spacing w:before="10"/>
        <w:rPr>
          <w:sz w:val="19"/>
        </w:rPr>
      </w:pPr>
    </w:p>
    <w:p>
      <w:pPr>
        <w:pStyle w:val="BodyText"/>
        <w:ind w:left="305"/>
        <w:jc w:val="both"/>
      </w:pPr>
      <w:r>
        <w:rPr/>
        <w:t>És pel que es proposa al Plenari Municipal l´adopció dels següents ACORDS:</w:t>
      </w:r>
    </w:p>
    <w:p>
      <w:pPr>
        <w:pStyle w:val="BodyText"/>
        <w:spacing w:before="1"/>
      </w:pPr>
    </w:p>
    <w:p>
      <w:pPr>
        <w:pStyle w:val="BodyText"/>
        <w:ind w:left="305" w:right="276"/>
        <w:jc w:val="both"/>
      </w:pPr>
      <w:r>
        <w:rPr/>
        <w:t>PRIMER.- APROVAR INICIALMENT la modificació puntual del POUM de Sant Joan de les Abadesses al sector de la cantonada del carrer Mare de Déu del Prat amb el camí del Cementiri, redactada per l’arquitecte Sr. Agustí Vilà i Cubí, en la forma que consta a l’expedient.</w:t>
      </w:r>
    </w:p>
    <w:p>
      <w:pPr>
        <w:pStyle w:val="BodyText"/>
      </w:pPr>
    </w:p>
    <w:p>
      <w:pPr>
        <w:pStyle w:val="BodyText"/>
        <w:ind w:left="305" w:right="272"/>
        <w:jc w:val="both"/>
      </w:pPr>
      <w:r>
        <w:rPr/>
        <w:t>SEGON.- Sotmetre'l a informació pública pel termini d'un mes mitjançant anunci en el Butlletí Oficial de la Província i un dels diaris de més divulgació en l'àmbit municipal o supramunicipal al qual es refereix el projecte en tramitació, al tauler d’edictes de la Corporació ubicat a la pàgina web municipal, a fi que qualsevol que ho desitgi pugui examinar-lo i presentar, durant el termini esmentat, totes les al·legacions o observacions que consideri oportunes.</w:t>
      </w:r>
    </w:p>
    <w:p>
      <w:pPr>
        <w:pStyle w:val="BodyText"/>
        <w:spacing w:before="9"/>
        <w:rPr>
          <w:sz w:val="21"/>
        </w:rPr>
      </w:pPr>
    </w:p>
    <w:p>
      <w:pPr>
        <w:pStyle w:val="Heading1"/>
        <w:spacing w:before="1"/>
      </w:pPr>
      <w:r>
        <w:rPr/>
        <w:t>5.-APROVACIÓ NOMENCLATURA CARRERS</w:t>
      </w:r>
    </w:p>
    <w:p>
      <w:pPr>
        <w:pStyle w:val="BodyText"/>
        <w:rPr>
          <w:b/>
        </w:rPr>
      </w:pPr>
    </w:p>
    <w:p>
      <w:pPr>
        <w:pStyle w:val="BodyText"/>
        <w:ind w:left="6500" w:right="269" w:firstLine="1541"/>
        <w:jc w:val="both"/>
      </w:pPr>
      <w:r>
        <w:rPr/>
        <w:t>Òrgan: Ple Caràcter: Sessió Ordinària Data: 20 de juliol de 2018</w:t>
      </w:r>
    </w:p>
    <w:p>
      <w:pPr>
        <w:pStyle w:val="BodyText"/>
        <w:spacing w:line="253" w:lineRule="exact" w:before="2"/>
        <w:ind w:left="4064"/>
      </w:pPr>
      <w:r>
        <w:rPr/>
        <w:t>Expedient núm. 2697-000001-2018 (X2018000792)</w:t>
      </w:r>
    </w:p>
    <w:p>
      <w:pPr>
        <w:pStyle w:val="BodyText"/>
        <w:ind w:left="4001" w:right="258" w:firstLine="2278"/>
      </w:pPr>
      <w:r>
        <w:rPr/>
        <w:t>Aprovat per majoria absoluta (7 vots positius del grup polític municipal de MES i 2</w:t>
      </w:r>
    </w:p>
    <w:p>
      <w:pPr>
        <w:pStyle w:val="BodyText"/>
        <w:ind w:left="6267"/>
      </w:pPr>
      <w:r>
        <w:rPr/>
        <w:t>abstencions del grup d´ERC)</w:t>
      </w:r>
    </w:p>
    <w:p>
      <w:pPr>
        <w:pStyle w:val="BodyText"/>
      </w:pPr>
    </w:p>
    <w:p>
      <w:pPr>
        <w:pStyle w:val="BodyText"/>
        <w:spacing w:before="1"/>
        <w:ind w:left="305" w:right="273"/>
        <w:jc w:val="both"/>
      </w:pPr>
      <w:r>
        <w:rPr/>
        <w:t>Vist que hi ha diverses vies públiques municipals que encara no disposen de nom. Concretament es planteja la necessitat de donar nom a dos petits carrers perpendiculars a l´actual carrer denominat La Plana del Molí Petit, així com també, a dos petits carrers just a tocar de l´edifici principal de l´antiga fàbrica de filatures Llaudet, a llevant i a ponent de la nau</w:t>
      </w:r>
      <w:r>
        <w:rPr>
          <w:spacing w:val="-1"/>
        </w:rPr>
        <w:t> </w:t>
      </w:r>
      <w:r>
        <w:rPr/>
        <w:t>principal.</w:t>
      </w:r>
    </w:p>
    <w:p>
      <w:pPr>
        <w:pStyle w:val="BodyText"/>
        <w:spacing w:before="10"/>
        <w:rPr>
          <w:sz w:val="21"/>
        </w:rPr>
      </w:pPr>
    </w:p>
    <w:p>
      <w:pPr>
        <w:pStyle w:val="BodyText"/>
        <w:ind w:left="305"/>
        <w:jc w:val="both"/>
      </w:pPr>
      <w:r>
        <w:rPr/>
        <w:t>Vist que cal donar nom a aquestes vies als efectes de la seva identificació.</w:t>
      </w:r>
    </w:p>
    <w:p>
      <w:pPr>
        <w:pStyle w:val="BodyText"/>
      </w:pPr>
    </w:p>
    <w:p>
      <w:pPr>
        <w:pStyle w:val="BodyText"/>
        <w:ind w:left="305" w:right="277"/>
        <w:jc w:val="both"/>
      </w:pPr>
      <w:r>
        <w:rPr/>
        <w:t>Vista la proposta de nou nomenclàtor dels sectors de la Plana del Molí Petit i de la Colònia Llaudet de Sant Joan de les Abadesses, redactat pel Sr. Joan Ferrer i Godoy en data 27 de juny de</w:t>
      </w:r>
      <w:r>
        <w:rPr>
          <w:spacing w:val="-7"/>
        </w:rPr>
        <w:t> </w:t>
      </w:r>
      <w:r>
        <w:rPr/>
        <w:t>2018.</w:t>
      </w:r>
    </w:p>
    <w:p>
      <w:pPr>
        <w:pStyle w:val="BodyText"/>
        <w:spacing w:before="1"/>
      </w:pPr>
    </w:p>
    <w:p>
      <w:pPr>
        <w:pStyle w:val="BodyText"/>
        <w:spacing w:before="1"/>
        <w:ind w:left="305" w:right="270"/>
        <w:jc w:val="both"/>
      </w:pPr>
      <w:r>
        <w:rPr/>
        <w:t>Vist l’informe de secretaria amb els antecedents jurídics que s’hi contenen, els quals es donen per reproduïts.</w:t>
      </w:r>
    </w:p>
    <w:p>
      <w:pPr>
        <w:spacing w:after="0"/>
        <w:jc w:val="both"/>
        <w:sectPr>
          <w:headerReference w:type="default" r:id="rId11"/>
          <w:footerReference w:type="default" r:id="rId12"/>
          <w:pgSz w:w="11910" w:h="16840"/>
          <w:pgMar w:header="766" w:footer="0"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1168"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sz w:val="19"/>
        </w:rPr>
      </w:pPr>
    </w:p>
    <w:p>
      <w:pPr>
        <w:pStyle w:val="BodyText"/>
        <w:spacing w:line="480" w:lineRule="auto" w:before="94"/>
        <w:ind w:left="305" w:right="1466"/>
      </w:pPr>
      <w:r>
        <w:rPr/>
        <w:t>És pel que es proposa al Plenari Municipal l´adopció dels següents ACORDS: PRIMER.- APROVAR la nomenclatura dels carrers següents:</w:t>
      </w:r>
    </w:p>
    <w:p>
      <w:pPr>
        <w:pStyle w:val="BodyText"/>
        <w:spacing w:line="251" w:lineRule="exact"/>
        <w:ind w:left="305"/>
        <w:jc w:val="both"/>
      </w:pPr>
      <w:r>
        <w:rPr/>
        <w:t>Sector de la Plana del Molí Petit:</w:t>
      </w:r>
    </w:p>
    <w:p>
      <w:pPr>
        <w:pStyle w:val="BodyText"/>
      </w:pPr>
    </w:p>
    <w:p>
      <w:pPr>
        <w:pStyle w:val="BodyText"/>
        <w:ind w:left="1013" w:right="5071"/>
      </w:pPr>
      <w:r>
        <w:rPr/>
        <w:t>Passatge de la bassa del molí (1) Passatge de les moles</w:t>
      </w:r>
      <w:r>
        <w:rPr>
          <w:spacing w:val="52"/>
        </w:rPr>
        <w:t> </w:t>
      </w:r>
      <w:r>
        <w:rPr/>
        <w:t>(2)</w:t>
      </w:r>
    </w:p>
    <w:p>
      <w:pPr>
        <w:pStyle w:val="BodyText"/>
        <w:spacing w:before="3"/>
      </w:pPr>
    </w:p>
    <w:p>
      <w:pPr>
        <w:pStyle w:val="BodyText"/>
        <w:ind w:left="305"/>
        <w:jc w:val="both"/>
      </w:pPr>
      <w:r>
        <w:rPr/>
        <w:t>Sector de la Colònia Llaudet:</w:t>
      </w:r>
    </w:p>
    <w:p>
      <w:pPr>
        <w:pStyle w:val="BodyText"/>
        <w:spacing w:before="9"/>
        <w:rPr>
          <w:sz w:val="21"/>
        </w:rPr>
      </w:pPr>
    </w:p>
    <w:p>
      <w:pPr>
        <w:pStyle w:val="BodyText"/>
        <w:ind w:left="1013" w:right="5830"/>
      </w:pPr>
      <w:r>
        <w:rPr/>
        <w:t>Passatge de la filatura (3) Passatge del cotó (4)</w:t>
      </w:r>
    </w:p>
    <w:p>
      <w:pPr>
        <w:pStyle w:val="BodyText"/>
        <w:spacing w:before="2"/>
      </w:pPr>
    </w:p>
    <w:p>
      <w:pPr>
        <w:pStyle w:val="BodyText"/>
        <w:ind w:left="305"/>
        <w:jc w:val="both"/>
      </w:pPr>
      <w:r>
        <w:rPr/>
        <w:t>SEGON.- Facultar l’Alcalde per tal de disposar la retolació dels esmentats carrers.</w:t>
      </w:r>
    </w:p>
    <w:p>
      <w:pPr>
        <w:pStyle w:val="BodyText"/>
        <w:spacing w:before="10"/>
        <w:rPr>
          <w:sz w:val="21"/>
        </w:rPr>
      </w:pPr>
    </w:p>
    <w:p>
      <w:pPr>
        <w:pStyle w:val="BodyText"/>
        <w:ind w:left="305" w:right="271"/>
        <w:jc w:val="both"/>
      </w:pPr>
      <w:r>
        <w:rPr/>
        <w:t>TERCER.- Comunicar el present acord a l’Institut Nacional d’Estadística i a l’Institut d’Estadística de Catalunya, i publicar-lo al BOP i al tauler d’anuncis als efectes de general coneixement, i notificar-lo a tots els veïns que hi tenen el domicili.</w:t>
      </w:r>
    </w:p>
    <w:p>
      <w:pPr>
        <w:pStyle w:val="BodyText"/>
        <w:rPr>
          <w:sz w:val="24"/>
        </w:rPr>
      </w:pPr>
    </w:p>
    <w:p>
      <w:pPr>
        <w:pStyle w:val="BodyText"/>
        <w:spacing w:before="9"/>
        <w:rPr>
          <w:sz w:val="19"/>
        </w:rPr>
      </w:pPr>
    </w:p>
    <w:p>
      <w:pPr>
        <w:pStyle w:val="Heading1"/>
        <w:ind w:right="272"/>
      </w:pPr>
      <w:r>
        <w:rPr/>
        <w:t>6.-CONSELL </w:t>
      </w:r>
      <w:r>
        <w:rPr>
          <w:spacing w:val="-3"/>
        </w:rPr>
        <w:t>COMARCAL </w:t>
      </w:r>
      <w:r>
        <w:rPr/>
        <w:t>DEL RIPOLLÈS.- DECLARACIÓ D'ESPECIAL INTERÈS PER </w:t>
      </w:r>
      <w:r>
        <w:rPr>
          <w:spacing w:val="-3"/>
        </w:rPr>
        <w:t>AL </w:t>
      </w:r>
      <w:r>
        <w:rPr/>
        <w:t>MUNICIPI DE LES OBRES DE REFORMA DELS JARDINS DE LA</w:t>
      </w:r>
      <w:r>
        <w:rPr>
          <w:spacing w:val="-14"/>
        </w:rPr>
        <w:t> </w:t>
      </w:r>
      <w:r>
        <w:rPr/>
        <w:t>PUDA</w:t>
      </w:r>
    </w:p>
    <w:p>
      <w:pPr>
        <w:pStyle w:val="BodyText"/>
        <w:spacing w:before="4"/>
        <w:rPr>
          <w:b/>
        </w:rPr>
      </w:pPr>
    </w:p>
    <w:p>
      <w:pPr>
        <w:pStyle w:val="BodyText"/>
        <w:spacing w:before="1"/>
        <w:ind w:left="6500" w:right="269" w:firstLine="1541"/>
        <w:jc w:val="both"/>
      </w:pPr>
      <w:r>
        <w:rPr/>
        <w:t>Òrgan: Ple Caràcter: Sessió Ordinària Data: 20 de juliol de 2018</w:t>
      </w:r>
    </w:p>
    <w:p>
      <w:pPr>
        <w:pStyle w:val="BodyText"/>
        <w:spacing w:line="252" w:lineRule="exact"/>
        <w:ind w:left="4076"/>
      </w:pPr>
      <w:r>
        <w:rPr/>
        <w:t>Expedient núm. X2018000708 - 2436-000042-2018</w:t>
      </w:r>
    </w:p>
    <w:p>
      <w:pPr>
        <w:pStyle w:val="BodyText"/>
        <w:spacing w:line="252" w:lineRule="exact"/>
        <w:ind w:left="6877"/>
      </w:pPr>
      <w:r>
        <w:rPr/>
        <w:t>Aprovat per unanimitat</w:t>
      </w:r>
    </w:p>
    <w:p>
      <w:pPr>
        <w:pStyle w:val="BodyText"/>
      </w:pPr>
    </w:p>
    <w:p>
      <w:pPr>
        <w:pStyle w:val="BodyText"/>
        <w:ind w:left="305" w:right="271"/>
        <w:jc w:val="both"/>
      </w:pPr>
      <w:r>
        <w:rPr/>
        <w:t>Atesa la instància presentada pel Sr. Joan Manso Bosoms, com a President del Consell Comarcal del Ripollès, en la qual sol.licita la bonificació de la llicència municipal d’obres de Reforma dels Jardins de la Puda, d’acord al previst a l’article 5.2 de l’Ordenança fiscal número 4, per concórrer circumstàncies socials, culturals, històrico-artístiques i de foment de l’ocupació, prèvia declaració d’aquest caràcter pel Ple de</w:t>
      </w:r>
      <w:r>
        <w:rPr>
          <w:spacing w:val="-13"/>
        </w:rPr>
        <w:t> </w:t>
      </w:r>
      <w:r>
        <w:rPr/>
        <w:t>l’Ajuntament.</w:t>
      </w:r>
    </w:p>
    <w:p>
      <w:pPr>
        <w:pStyle w:val="BodyText"/>
        <w:spacing w:before="2"/>
      </w:pPr>
    </w:p>
    <w:p>
      <w:pPr>
        <w:pStyle w:val="BodyText"/>
        <w:ind w:left="305" w:right="272"/>
        <w:jc w:val="both"/>
      </w:pPr>
      <w:r>
        <w:rPr/>
        <w:t>Vist l´informe emès per la secretària-interventora de la Corporació, Sra. Raquel Costa Iglesias, el qual es transcriu literalment a continuació:</w:t>
      </w:r>
    </w:p>
    <w:p>
      <w:pPr>
        <w:pStyle w:val="BodyText"/>
        <w:spacing w:before="11"/>
        <w:rPr>
          <w:sz w:val="21"/>
        </w:rPr>
      </w:pPr>
    </w:p>
    <w:p>
      <w:pPr>
        <w:pStyle w:val="BodyText"/>
        <w:ind w:left="305" w:right="274"/>
        <w:jc w:val="both"/>
      </w:pPr>
      <w:r>
        <w:rPr/>
        <w:t>" Vista la instància presentada pel Sr. Sr. Joan Manso Bosoms, com a President del Consell Comarcal del Ripollès, en la qual sol.licita llicència municipal d’obres per a la Reforma dels Jardins de la Puda.</w:t>
      </w:r>
    </w:p>
    <w:p>
      <w:pPr>
        <w:pStyle w:val="BodyText"/>
        <w:spacing w:before="10"/>
        <w:rPr>
          <w:sz w:val="21"/>
        </w:rPr>
      </w:pPr>
    </w:p>
    <w:p>
      <w:pPr>
        <w:pStyle w:val="BodyText"/>
        <w:ind w:left="305" w:right="275"/>
        <w:jc w:val="both"/>
      </w:pPr>
      <w:r>
        <w:rPr/>
        <w:t>Atès que per altra banda, l´interessat sol.licita una bonificació de la quota de l´Impost sobre construccions, instal.lacions i obres.</w:t>
      </w:r>
    </w:p>
    <w:p>
      <w:pPr>
        <w:pStyle w:val="BodyText"/>
        <w:spacing w:before="2"/>
      </w:pPr>
    </w:p>
    <w:p>
      <w:pPr>
        <w:pStyle w:val="BodyText"/>
        <w:ind w:left="305" w:right="275"/>
        <w:jc w:val="both"/>
      </w:pPr>
      <w:r>
        <w:rPr/>
        <w:t>Atès el que estableix l´art. 103.2 del Reial Decret Legislatiu 2/2004, de 5 de març, pel qual s´aprova el text refós de la Llei reguladora de les Hisendes</w:t>
      </w:r>
      <w:r>
        <w:rPr>
          <w:spacing w:val="-8"/>
        </w:rPr>
        <w:t> </w:t>
      </w:r>
      <w:r>
        <w:rPr/>
        <w:t>Locals.</w:t>
      </w:r>
    </w:p>
    <w:p>
      <w:pPr>
        <w:pStyle w:val="BodyText"/>
        <w:spacing w:before="11"/>
        <w:rPr>
          <w:sz w:val="21"/>
        </w:rPr>
      </w:pPr>
    </w:p>
    <w:p>
      <w:pPr>
        <w:pStyle w:val="BodyText"/>
        <w:ind w:left="305" w:right="272"/>
        <w:jc w:val="both"/>
      </w:pPr>
      <w:r>
        <w:rPr/>
        <w:t>Atès el que estableix l´art. 5 de l´Ordenança Fiscal número 4, reguladora de l´Impost sobre construccions, instal.lacions i obres, el qual determina que es podrà atorgar una bonificació del 50% a favor de construccions, instal.lacions i obres que siguin declarades d´especial interès o utilitat municipal per concórrer circumstàncies socials,</w:t>
      </w:r>
      <w:r>
        <w:rPr>
          <w:spacing w:val="30"/>
        </w:rPr>
        <w:t> </w:t>
      </w:r>
      <w:r>
        <w:rPr/>
        <w:t>culturals,</w:t>
      </w:r>
    </w:p>
    <w:p>
      <w:pPr>
        <w:spacing w:after="0"/>
        <w:jc w:val="both"/>
        <w:sectPr>
          <w:headerReference w:type="default" r:id="rId13"/>
          <w:footerReference w:type="default" r:id="rId14"/>
          <w:pgSz w:w="11910" w:h="16840"/>
          <w:pgMar w:header="766" w:footer="0"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1192"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sz w:val="19"/>
        </w:rPr>
      </w:pPr>
    </w:p>
    <w:p>
      <w:pPr>
        <w:pStyle w:val="BodyText"/>
        <w:spacing w:before="94"/>
        <w:ind w:left="305" w:right="276"/>
        <w:jc w:val="both"/>
      </w:pPr>
      <w:r>
        <w:rPr/>
        <w:t>històrico-artístiques o de foment de l´ocupació. Correspondrà adoptar aquesta declaració al Plenari Municipal, prèvia sol.licitud del subjecte passiu.</w:t>
      </w:r>
    </w:p>
    <w:p>
      <w:pPr>
        <w:pStyle w:val="BodyText"/>
        <w:spacing w:before="11"/>
        <w:rPr>
          <w:sz w:val="21"/>
        </w:rPr>
      </w:pPr>
    </w:p>
    <w:p>
      <w:pPr>
        <w:pStyle w:val="BodyText"/>
        <w:ind w:left="305" w:right="276"/>
        <w:jc w:val="both"/>
      </w:pPr>
      <w:r>
        <w:rPr/>
        <w:t>Atès que la construcció objecte de la present sol.licitud pot ser declarada d´especial interès pel municipi de Sant Joan de les Abadesses.</w:t>
      </w:r>
    </w:p>
    <w:p>
      <w:pPr>
        <w:pStyle w:val="BodyText"/>
        <w:spacing w:before="11"/>
        <w:rPr>
          <w:sz w:val="21"/>
        </w:rPr>
      </w:pPr>
    </w:p>
    <w:p>
      <w:pPr>
        <w:pStyle w:val="BodyText"/>
        <w:ind w:left="305"/>
        <w:jc w:val="both"/>
      </w:pPr>
      <w:r>
        <w:rPr/>
        <w:t>Per tot el que s´acaba d´exposar, és pel que INFORMO el següent:</w:t>
      </w:r>
    </w:p>
    <w:p>
      <w:pPr>
        <w:pStyle w:val="BodyText"/>
      </w:pPr>
    </w:p>
    <w:p>
      <w:pPr>
        <w:pStyle w:val="BodyText"/>
        <w:ind w:left="305" w:right="271"/>
        <w:jc w:val="both"/>
      </w:pPr>
      <w:r>
        <w:rPr/>
        <w:t>PRIMER.- ÉS PROCEDENT reconèixer una bonificació del 50% la quota de l´Impost sobre construccions, instal.lacions i obres per a l´execució de les obres de Reforma dels Jardins de la Puda, de conformitat amb el que estableix l´art. 5 de l´Ordenança Fiscal número 4, prèvia declaració de l´esmentada construcció d´especial interès pel municipi per concórrer circumstàncies socials, culturals, històrico-artístiques o de foment de l´ocupació.</w:t>
      </w:r>
    </w:p>
    <w:p>
      <w:pPr>
        <w:pStyle w:val="BodyText"/>
        <w:spacing w:before="1"/>
      </w:pPr>
    </w:p>
    <w:p>
      <w:pPr>
        <w:pStyle w:val="BodyText"/>
        <w:ind w:left="305" w:right="274"/>
        <w:jc w:val="both"/>
      </w:pPr>
      <w:r>
        <w:rPr/>
        <w:t>SEGON.- COMUNICAR el present informe a l´òrgan competent d´aquesta Corporació, si bé aquest adoptarà l´acord que consideri més oportú".</w:t>
      </w:r>
    </w:p>
    <w:p>
      <w:pPr>
        <w:pStyle w:val="BodyText"/>
        <w:rPr>
          <w:sz w:val="24"/>
        </w:rPr>
      </w:pPr>
    </w:p>
    <w:p>
      <w:pPr>
        <w:pStyle w:val="BodyText"/>
        <w:spacing w:before="1"/>
        <w:rPr>
          <w:sz w:val="20"/>
        </w:rPr>
      </w:pPr>
    </w:p>
    <w:p>
      <w:pPr>
        <w:pStyle w:val="BodyText"/>
        <w:ind w:left="305"/>
        <w:jc w:val="both"/>
      </w:pPr>
      <w:r>
        <w:rPr/>
        <w:t>És pel que es proposa al Plenari Municipal l´adopció dels següents ACORDS:</w:t>
      </w:r>
    </w:p>
    <w:p>
      <w:pPr>
        <w:pStyle w:val="BodyText"/>
        <w:spacing w:before="10"/>
        <w:rPr>
          <w:sz w:val="21"/>
        </w:rPr>
      </w:pPr>
    </w:p>
    <w:p>
      <w:pPr>
        <w:pStyle w:val="BodyText"/>
        <w:ind w:left="305" w:right="270"/>
        <w:jc w:val="both"/>
      </w:pPr>
      <w:r>
        <w:rPr/>
        <w:t>PRIMER.- APROVAR l´informe emès per la secretària-interventora de la Corporació i declarar d´especial interès pel municipi de Sant Joan de les Abadesses per concórrer circumstàncies socials, en l ´execució de les obres de Reforma dels Jardins de la Puda.</w:t>
      </w:r>
    </w:p>
    <w:p>
      <w:pPr>
        <w:pStyle w:val="BodyText"/>
        <w:spacing w:before="1"/>
      </w:pPr>
    </w:p>
    <w:p>
      <w:pPr>
        <w:pStyle w:val="BodyText"/>
        <w:ind w:left="305" w:right="273"/>
        <w:jc w:val="both"/>
      </w:pPr>
      <w:r>
        <w:rPr/>
        <w:t>SEGON.- CONCEDIR al Consell Comarcal del Ripollès, representat pel seu president Sr. Joan Manso Bosoms, una bonificació del 50% la quota de l´Impost sobre construccions, instal.lacions i obres per a l´execució de les obres de Reforma dels Jardins de La Puda a Sant Joan de les Abadesses, de conformitat amb el que estableix l´art. 5 de l´Ordenança Fiscal número 4, reguladora de l´Impost sobre construccions, instal.lacions i obres.</w:t>
      </w:r>
    </w:p>
    <w:p>
      <w:pPr>
        <w:pStyle w:val="BodyText"/>
        <w:spacing w:before="10"/>
        <w:rPr>
          <w:sz w:val="21"/>
        </w:rPr>
      </w:pPr>
    </w:p>
    <w:p>
      <w:pPr>
        <w:pStyle w:val="BodyText"/>
        <w:ind w:left="305"/>
        <w:jc w:val="both"/>
      </w:pPr>
      <w:r>
        <w:rPr/>
        <w:t>TERCER.- COMUNICAR el present acord a les parts interessades a fi i efectes oportuns.</w:t>
      </w:r>
    </w:p>
    <w:p>
      <w:pPr>
        <w:pStyle w:val="BodyText"/>
        <w:rPr>
          <w:sz w:val="24"/>
        </w:rPr>
      </w:pPr>
    </w:p>
    <w:p>
      <w:pPr>
        <w:pStyle w:val="BodyText"/>
        <w:rPr>
          <w:sz w:val="20"/>
        </w:rPr>
      </w:pPr>
    </w:p>
    <w:p>
      <w:pPr>
        <w:pStyle w:val="Heading1"/>
        <w:ind w:right="274"/>
      </w:pPr>
      <w:r>
        <w:rPr/>
        <w:t>7.- APROVACIÓ CONVENI DE COL·LABORACIÓ ENTRE L’AJUNTAMENT DE SANT JOAN DE LES ABADESSES I EL CONSELL COMARCAL DEL RIPOLLÈS PEL QUAL EL PRIMER ENCARREGA A AQUEST DARRER LA LICITACIÓ DEL SERVEI DE MANTENIMENT I EXPLOTACIÓ DE LA DEPURADORA DE CAL GAT</w:t>
      </w:r>
    </w:p>
    <w:p>
      <w:pPr>
        <w:pStyle w:val="BodyText"/>
        <w:spacing w:before="3"/>
        <w:rPr>
          <w:b/>
        </w:rPr>
      </w:pPr>
    </w:p>
    <w:p>
      <w:pPr>
        <w:pStyle w:val="BodyText"/>
        <w:ind w:left="6500" w:right="269" w:firstLine="1541"/>
        <w:jc w:val="both"/>
      </w:pPr>
      <w:r>
        <w:rPr/>
        <w:t>Òrgan: Ple Caràcter: Sessió Ordinària Data: 20 de juliol de 2018</w:t>
      </w:r>
    </w:p>
    <w:p>
      <w:pPr>
        <w:pStyle w:val="BodyText"/>
        <w:spacing w:line="252" w:lineRule="exact"/>
        <w:ind w:right="269"/>
        <w:jc w:val="right"/>
      </w:pPr>
      <w:r>
        <w:rPr/>
        <w:t>Expedient núm. 1374-000012018 (X2018000811)</w:t>
      </w:r>
    </w:p>
    <w:p>
      <w:pPr>
        <w:pStyle w:val="BodyText"/>
        <w:spacing w:line="252" w:lineRule="exact"/>
        <w:ind w:right="272"/>
        <w:jc w:val="right"/>
      </w:pPr>
      <w:r>
        <w:rPr/>
        <w:t>Aprovat per unanimitat</w:t>
      </w:r>
    </w:p>
    <w:p>
      <w:pPr>
        <w:pStyle w:val="BodyText"/>
        <w:rPr>
          <w:sz w:val="24"/>
        </w:rPr>
      </w:pPr>
    </w:p>
    <w:p>
      <w:pPr>
        <w:pStyle w:val="BodyText"/>
        <w:spacing w:before="2"/>
        <w:rPr>
          <w:sz w:val="20"/>
        </w:rPr>
      </w:pPr>
    </w:p>
    <w:p>
      <w:pPr>
        <w:pStyle w:val="BodyText"/>
        <w:ind w:left="305"/>
        <w:jc w:val="both"/>
      </w:pPr>
      <w:r>
        <w:rPr/>
        <w:t>Antecedents de fet:</w:t>
      </w:r>
    </w:p>
    <w:p>
      <w:pPr>
        <w:pStyle w:val="BodyText"/>
        <w:spacing w:before="9"/>
        <w:rPr>
          <w:sz w:val="21"/>
        </w:rPr>
      </w:pPr>
    </w:p>
    <w:p>
      <w:pPr>
        <w:pStyle w:val="BodyText"/>
        <w:spacing w:before="1"/>
        <w:ind w:left="305" w:right="275"/>
        <w:jc w:val="both"/>
      </w:pPr>
      <w:r>
        <w:rPr/>
        <w:t>1.- L’Ajuntament de Sant Joan de les Abadesses és el titular de la depuradora de Cal Gat ubicada al polígon industrial de Cal Gat del municipi de Sant Joan de les Abadesses, les característiques tècniques de la qual consten a l’expedient.</w:t>
      </w:r>
    </w:p>
    <w:p>
      <w:pPr>
        <w:pStyle w:val="BodyText"/>
      </w:pPr>
    </w:p>
    <w:p>
      <w:pPr>
        <w:pStyle w:val="BodyText"/>
        <w:spacing w:before="1"/>
        <w:ind w:left="305" w:right="272"/>
        <w:jc w:val="both"/>
      </w:pPr>
      <w:r>
        <w:rPr/>
        <w:t>El director de l’Àrea de Gestió del Medi de l’Agència Catalana de l’Aigua va dictar Resolució de data 17 de novembre de 2015, per la qual renovava al Consell Comarcal del</w:t>
      </w:r>
    </w:p>
    <w:p>
      <w:pPr>
        <w:spacing w:after="0"/>
        <w:jc w:val="both"/>
        <w:sectPr>
          <w:headerReference w:type="default" r:id="rId15"/>
          <w:footerReference w:type="default" r:id="rId16"/>
          <w:pgSz w:w="11910" w:h="16840"/>
          <w:pgMar w:header="766" w:footer="0"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1216"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sz w:val="19"/>
        </w:rPr>
      </w:pPr>
    </w:p>
    <w:p>
      <w:pPr>
        <w:pStyle w:val="BodyText"/>
        <w:spacing w:before="94"/>
        <w:ind w:left="305" w:right="270"/>
        <w:jc w:val="both"/>
      </w:pPr>
      <w:r>
        <w:rPr/>
        <w:t>Ripollès l’autorització d’abocament a la llera pública de les aigües residuals sanitàries depurades procedents del polígon industrial Cal Gat del terme municipal de Sant Joan de les Abadesses.</w:t>
      </w:r>
    </w:p>
    <w:p>
      <w:pPr>
        <w:pStyle w:val="BodyText"/>
        <w:spacing w:before="10"/>
        <w:rPr>
          <w:sz w:val="21"/>
        </w:rPr>
      </w:pPr>
    </w:p>
    <w:p>
      <w:pPr>
        <w:pStyle w:val="BodyText"/>
        <w:ind w:left="305" w:right="270"/>
        <w:jc w:val="both"/>
      </w:pPr>
      <w:r>
        <w:rPr/>
        <w:t>2.- El Consell Comarcal del Ripollès, dins del seu àmbit territorial, gestiona per delegació dels respectius ajuntaments, els sistemes de sanejament dels municipis de  Campdevànol, Camprodon, Llanars, Planoles, Queralbs (Núria), Ribes de Freser, Ripoll, Sant Joan de les Abadesses, Sant Pau de Segúries, Setcases i Toses (Nevà), i s’encarrega de la seva explotació, manteniment i conservació mitjançant una empresa privada, a través d’un contracte de</w:t>
      </w:r>
      <w:r>
        <w:rPr>
          <w:spacing w:val="-3"/>
        </w:rPr>
        <w:t> </w:t>
      </w:r>
      <w:r>
        <w:rPr/>
        <w:t>serveis.</w:t>
      </w:r>
    </w:p>
    <w:p>
      <w:pPr>
        <w:pStyle w:val="BodyText"/>
        <w:spacing w:before="1"/>
      </w:pPr>
    </w:p>
    <w:p>
      <w:pPr>
        <w:pStyle w:val="BodyText"/>
        <w:ind w:left="305" w:right="268"/>
        <w:jc w:val="both"/>
      </w:pPr>
      <w:r>
        <w:rPr/>
        <w:t>Entre les competències que legalment té atribuïdes el Consell Comarcal del Ripollès, hi ha l’exercici de les funcions d’assistència i cooperació als diferents municipis, tenint en compte les seves</w:t>
      </w:r>
      <w:r>
        <w:rPr>
          <w:spacing w:val="-3"/>
        </w:rPr>
        <w:t> </w:t>
      </w:r>
      <w:r>
        <w:rPr/>
        <w:t>necessitats.</w:t>
      </w:r>
    </w:p>
    <w:p>
      <w:pPr>
        <w:pStyle w:val="BodyText"/>
        <w:spacing w:before="1"/>
      </w:pPr>
    </w:p>
    <w:p>
      <w:pPr>
        <w:pStyle w:val="ListParagraph"/>
        <w:numPr>
          <w:ilvl w:val="0"/>
          <w:numId w:val="2"/>
        </w:numPr>
        <w:tabs>
          <w:tab w:pos="555" w:val="left" w:leader="none"/>
        </w:tabs>
        <w:spacing w:line="240" w:lineRule="auto" w:before="0" w:after="0"/>
        <w:ind w:left="305" w:right="272" w:firstLine="0"/>
        <w:jc w:val="both"/>
        <w:rPr>
          <w:sz w:val="22"/>
        </w:rPr>
      </w:pPr>
      <w:r>
        <w:rPr>
          <w:sz w:val="22"/>
        </w:rPr>
        <w:t>El Consell Comarcal del Ripollès, en aquests moments, es troba en procés de redacció dels plecs reguladors de la contractació del servei de manteniment i explotació dels sistemes de sanejament dels municipis que li han delegat aquesta competència. Aquest contracte tindrà una vigència de 4 anys, amb una possible pròrroga d’un any</w:t>
      </w:r>
      <w:r>
        <w:rPr>
          <w:spacing w:val="-26"/>
          <w:sz w:val="22"/>
        </w:rPr>
        <w:t> </w:t>
      </w:r>
      <w:r>
        <w:rPr>
          <w:sz w:val="22"/>
        </w:rPr>
        <w:t>més.</w:t>
      </w:r>
    </w:p>
    <w:p>
      <w:pPr>
        <w:pStyle w:val="BodyText"/>
      </w:pPr>
    </w:p>
    <w:p>
      <w:pPr>
        <w:pStyle w:val="ListParagraph"/>
        <w:numPr>
          <w:ilvl w:val="0"/>
          <w:numId w:val="2"/>
        </w:numPr>
        <w:tabs>
          <w:tab w:pos="632" w:val="left" w:leader="none"/>
        </w:tabs>
        <w:spacing w:line="240" w:lineRule="auto" w:before="0" w:after="0"/>
        <w:ind w:left="305" w:right="270" w:firstLine="0"/>
        <w:jc w:val="both"/>
        <w:rPr>
          <w:sz w:val="22"/>
        </w:rPr>
      </w:pPr>
      <w:r>
        <w:rPr>
          <w:sz w:val="22"/>
        </w:rPr>
        <w:t>L’Ajuntament de Sant Joan de les Abadesses ha manifestat el seu interès en incorporar el servei de manteniment i explotació de la depuradora de Cal Gat com a objecte del contracte de serveis que licita el Consell Comarcal, fent-se càrrec dels costos que se’n derivin, a fi d’optimitzar els recursos, actuar amb la màxima eficiència i beneficiar-se dels avantatges de l’economia</w:t>
      </w:r>
      <w:r>
        <w:rPr>
          <w:spacing w:val="-6"/>
          <w:sz w:val="22"/>
        </w:rPr>
        <w:t> </w:t>
      </w:r>
      <w:r>
        <w:rPr>
          <w:sz w:val="22"/>
        </w:rPr>
        <w:t>d’escala.</w:t>
      </w:r>
    </w:p>
    <w:p>
      <w:pPr>
        <w:pStyle w:val="BodyText"/>
        <w:spacing w:before="10"/>
        <w:rPr>
          <w:sz w:val="21"/>
        </w:rPr>
      </w:pPr>
    </w:p>
    <w:p>
      <w:pPr>
        <w:pStyle w:val="ListParagraph"/>
        <w:numPr>
          <w:ilvl w:val="0"/>
          <w:numId w:val="2"/>
        </w:numPr>
        <w:tabs>
          <w:tab w:pos="576" w:val="left" w:leader="none"/>
        </w:tabs>
        <w:spacing w:line="240" w:lineRule="auto" w:before="1" w:after="0"/>
        <w:ind w:left="305" w:right="276" w:firstLine="0"/>
        <w:jc w:val="both"/>
        <w:rPr>
          <w:sz w:val="22"/>
        </w:rPr>
      </w:pPr>
      <w:r>
        <w:rPr>
          <w:sz w:val="22"/>
        </w:rPr>
        <w:t>La Cap de l’Àrea de Territori i Sostenibilitat, ha emès informe de data 28 de juny de 2018, el qual és favorable a l’acceptació d’aquest encàrrec sempre que l’Ajuntament assumeixi una sèrie d’obligacions que s’han traslladat al corresponent</w:t>
      </w:r>
      <w:r>
        <w:rPr>
          <w:spacing w:val="-18"/>
          <w:sz w:val="22"/>
        </w:rPr>
        <w:t> </w:t>
      </w:r>
      <w:r>
        <w:rPr>
          <w:sz w:val="22"/>
        </w:rPr>
        <w:t>conveni.</w:t>
      </w:r>
    </w:p>
    <w:p>
      <w:pPr>
        <w:pStyle w:val="BodyText"/>
      </w:pPr>
    </w:p>
    <w:p>
      <w:pPr>
        <w:pStyle w:val="BodyText"/>
        <w:ind w:left="305" w:right="279"/>
        <w:jc w:val="both"/>
      </w:pPr>
      <w:r>
        <w:rPr/>
        <w:t>La secretària, en data 9 de juliol de 2018, ha emès un informe jurídic favorable a la proposta de conveni.</w:t>
      </w:r>
    </w:p>
    <w:p>
      <w:pPr>
        <w:pStyle w:val="BodyText"/>
      </w:pPr>
    </w:p>
    <w:p>
      <w:pPr>
        <w:pStyle w:val="BodyText"/>
        <w:ind w:left="305" w:right="274"/>
        <w:jc w:val="both"/>
      </w:pPr>
      <w:r>
        <w:rPr/>
        <w:t>La intervenció ha emès un informe de fiscalització limitada prèvia de requisits bàsics de conformitat amb observacions, de data 9 de juliol de 2018.</w:t>
      </w:r>
    </w:p>
    <w:p>
      <w:pPr>
        <w:pStyle w:val="BodyText"/>
        <w:spacing w:before="2"/>
      </w:pPr>
    </w:p>
    <w:p>
      <w:pPr>
        <w:pStyle w:val="BodyText"/>
        <w:ind w:left="305"/>
        <w:jc w:val="both"/>
      </w:pPr>
      <w:r>
        <w:rPr/>
        <w:t>Fonaments de Dret:</w:t>
      </w:r>
    </w:p>
    <w:p>
      <w:pPr>
        <w:pStyle w:val="BodyText"/>
        <w:spacing w:before="10"/>
        <w:rPr>
          <w:sz w:val="21"/>
        </w:rPr>
      </w:pPr>
    </w:p>
    <w:p>
      <w:pPr>
        <w:pStyle w:val="BodyText"/>
        <w:ind w:left="305" w:right="278"/>
        <w:jc w:val="both"/>
      </w:pPr>
      <w:r>
        <w:rPr/>
        <w:t>I.- Els articles 47 i següents de la Llei 40/2015, d’1 d’octubre, de Règim Jurídic del Sector Públic (Llei 40/2015), regulen els convenis, establint el contingut mínim dels mateixos (article 49) i els tràmits preceptius per la seva subscripció i efectes (article 50).</w:t>
      </w:r>
    </w:p>
    <w:p>
      <w:pPr>
        <w:pStyle w:val="BodyText"/>
        <w:spacing w:before="1"/>
      </w:pPr>
    </w:p>
    <w:p>
      <w:pPr>
        <w:pStyle w:val="BodyText"/>
        <w:ind w:left="305" w:right="276"/>
        <w:jc w:val="both"/>
      </w:pPr>
      <w:r>
        <w:rPr/>
        <w:t>Els convenis es perfeccionen amb la prestació del consentiment de les parts i han d’estar inscrits al corresponent Registre electrònic, de conformitat amb l’article 144.3 de la Llei 40/2015.</w:t>
      </w:r>
    </w:p>
    <w:p>
      <w:pPr>
        <w:pStyle w:val="BodyText"/>
      </w:pPr>
    </w:p>
    <w:p>
      <w:pPr>
        <w:pStyle w:val="BodyText"/>
        <w:spacing w:before="1"/>
        <w:ind w:left="305" w:right="273"/>
        <w:jc w:val="both"/>
      </w:pPr>
      <w:r>
        <w:rPr/>
        <w:t>II.- D’acord amb l’article 11.3.b) de la Llei 40/2015, les encomanes de gestió que es formalitzin amb el corresponent conveni s’hauran de publicar al Butlletí Oficial de la Província de Girona.</w:t>
      </w:r>
    </w:p>
    <w:p>
      <w:pPr>
        <w:pStyle w:val="BodyText"/>
        <w:spacing w:before="10"/>
        <w:rPr>
          <w:sz w:val="21"/>
        </w:rPr>
      </w:pPr>
    </w:p>
    <w:p>
      <w:pPr>
        <w:pStyle w:val="BodyText"/>
        <w:ind w:left="305" w:right="273"/>
        <w:jc w:val="both"/>
      </w:pPr>
      <w:r>
        <w:rPr/>
        <w:t>III.- Correspon al Consell de Govern, de conformitat amb la delegació efectuada pel Ple del Consell Comarcal en sessió celebrada en data 8 de setembre de 2015, en matèria d’aprovació de convenis de col·laboració i cooperació amb altres administracions i entitats, la competència per a l’aprovació d’aquest</w:t>
      </w:r>
      <w:r>
        <w:rPr>
          <w:spacing w:val="-5"/>
        </w:rPr>
        <w:t> </w:t>
      </w:r>
      <w:r>
        <w:rPr/>
        <w:t>conveni.</w:t>
      </w:r>
    </w:p>
    <w:p>
      <w:pPr>
        <w:spacing w:after="0"/>
        <w:jc w:val="both"/>
        <w:sectPr>
          <w:headerReference w:type="default" r:id="rId17"/>
          <w:footerReference w:type="default" r:id="rId18"/>
          <w:pgSz w:w="11910" w:h="16840"/>
          <w:pgMar w:header="766" w:footer="0"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1240"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rPr>
          <w:sz w:val="20"/>
        </w:rPr>
      </w:pPr>
    </w:p>
    <w:p>
      <w:pPr>
        <w:pStyle w:val="BodyText"/>
        <w:spacing w:before="6"/>
        <w:rPr>
          <w:sz w:val="21"/>
        </w:rPr>
      </w:pPr>
    </w:p>
    <w:p>
      <w:pPr>
        <w:pStyle w:val="BodyText"/>
        <w:spacing w:before="94"/>
        <w:ind w:left="305"/>
        <w:jc w:val="both"/>
      </w:pPr>
      <w:r>
        <w:rPr/>
        <w:t>És pel que es proposa al Plenari Municipal l´adopció dels següents ACORDS:</w:t>
      </w:r>
    </w:p>
    <w:p>
      <w:pPr>
        <w:pStyle w:val="BodyText"/>
      </w:pPr>
    </w:p>
    <w:p>
      <w:pPr>
        <w:pStyle w:val="BodyText"/>
        <w:ind w:left="305" w:right="274"/>
        <w:jc w:val="both"/>
      </w:pPr>
      <w:r>
        <w:rPr/>
        <w:t>PRIMER.- APROVAR el Conveni de col·laboració entre l’Ajuntament de Sant Joan de les Abadesses i el Consell Comarcal del Ripollès pel qual el primer encarrega a aquest darrer la licitació del servei de manteniment i explotació de la depuradora de Cal Gat (Sant Joan de les Abadesses), el qual és del contingut literal següent:</w:t>
      </w:r>
    </w:p>
    <w:p>
      <w:pPr>
        <w:pStyle w:val="BodyText"/>
      </w:pPr>
    </w:p>
    <w:p>
      <w:pPr>
        <w:spacing w:line="240" w:lineRule="auto" w:before="0"/>
        <w:ind w:left="305" w:right="271" w:firstLine="0"/>
        <w:jc w:val="both"/>
        <w:rPr>
          <w:i/>
          <w:sz w:val="22"/>
        </w:rPr>
      </w:pPr>
      <w:r>
        <w:rPr>
          <w:i/>
          <w:sz w:val="22"/>
        </w:rPr>
        <w:t>“PROPOSTA D’APROVACIÓ DEL CONVENI DE COL·LABORACIÓ ENTRE </w:t>
      </w:r>
      <w:r>
        <w:rPr>
          <w:i/>
          <w:sz w:val="22"/>
        </w:rPr>
        <w:t>L’AJUNTAMENT DE SANT JOAN DE LES ABADESSES I EL CONSELL COMARCAL DEL RIPOLLÈS PEL QUAL EL PRIMER ENCARREGA A AQUEST DARRER LA LICITACIÓ DEL SERVEI DE MANTENIMENT I EXPLOTACIÓ DE LA DEPURADORA DE CAL GAT (SANT JOAN DE LES ABADESSES)</w:t>
      </w:r>
    </w:p>
    <w:p>
      <w:pPr>
        <w:pStyle w:val="BodyText"/>
        <w:spacing w:before="2"/>
        <w:rPr>
          <w:i/>
        </w:rPr>
      </w:pPr>
    </w:p>
    <w:p>
      <w:pPr>
        <w:spacing w:line="477" w:lineRule="auto" w:before="0"/>
        <w:ind w:left="305" w:right="5449" w:firstLine="0"/>
        <w:jc w:val="left"/>
        <w:rPr>
          <w:i/>
          <w:sz w:val="22"/>
        </w:rPr>
      </w:pPr>
      <w:r>
        <w:rPr>
          <w:i/>
          <w:sz w:val="22"/>
        </w:rPr>
        <w:t>Ripoll, a la data de l’última signatura. </w:t>
      </w:r>
      <w:r>
        <w:rPr>
          <w:i/>
          <w:sz w:val="22"/>
        </w:rPr>
        <w:t>REUNITS</w:t>
      </w:r>
    </w:p>
    <w:p>
      <w:pPr>
        <w:spacing w:before="4"/>
        <w:ind w:left="305" w:right="270" w:firstLine="0"/>
        <w:jc w:val="both"/>
        <w:rPr>
          <w:i/>
          <w:sz w:val="22"/>
        </w:rPr>
      </w:pPr>
      <w:r>
        <w:rPr>
          <w:i/>
          <w:sz w:val="22"/>
        </w:rPr>
        <w:t>D’una  banda,  l’Il·lm.  senyor  Ramon  Roqué  i   Riu,   alcalde   de   l’Ajuntament   de </w:t>
      </w:r>
      <w:r>
        <w:rPr>
          <w:i/>
          <w:sz w:val="22"/>
        </w:rPr>
        <w:t>Sant Joan de les Abadesses, actuant en nom i representació d'aquesta corporació, degudament facultat per signar aquest conveni per acord adoptat per ................., en</w:t>
      </w:r>
      <w:r>
        <w:rPr>
          <w:i/>
          <w:spacing w:val="-18"/>
          <w:sz w:val="22"/>
        </w:rPr>
        <w:t> </w:t>
      </w:r>
      <w:r>
        <w:rPr>
          <w:i/>
          <w:sz w:val="22"/>
        </w:rPr>
        <w:t>data</w:t>
      </w:r>
    </w:p>
    <w:p>
      <w:pPr>
        <w:spacing w:line="252" w:lineRule="exact" w:before="0"/>
        <w:ind w:left="305" w:right="0" w:firstLine="0"/>
        <w:jc w:val="both"/>
        <w:rPr>
          <w:i/>
          <w:sz w:val="22"/>
        </w:rPr>
      </w:pPr>
      <w:r>
        <w:rPr>
          <w:i/>
          <w:sz w:val="22"/>
        </w:rPr>
        <w:t>...................... Assistit per la secretària de la corporació, senyora Raquel Costa i Iglesias.</w:t>
      </w:r>
    </w:p>
    <w:p>
      <w:pPr>
        <w:pStyle w:val="BodyText"/>
        <w:rPr>
          <w:i/>
        </w:rPr>
      </w:pPr>
    </w:p>
    <w:p>
      <w:pPr>
        <w:spacing w:before="1"/>
        <w:ind w:left="305" w:right="271" w:firstLine="0"/>
        <w:jc w:val="both"/>
        <w:rPr>
          <w:i/>
          <w:sz w:val="22"/>
        </w:rPr>
      </w:pPr>
      <w:r>
        <w:rPr>
          <w:i/>
          <w:sz w:val="22"/>
        </w:rPr>
        <w:t>D’altra banda, l’Il·lm. senyor Joan Manso i Bosoms, President del Consell Comarcal del </w:t>
      </w:r>
      <w:r>
        <w:rPr>
          <w:i/>
          <w:sz w:val="22"/>
        </w:rPr>
        <w:t>Ripollès, actuant en nom i representació d'aquesta corporació, degudament facultat per aquest acte, per acord adoptat pel Consell de Govern, en la seva sessió de data</w:t>
      </w:r>
    </w:p>
    <w:p>
      <w:pPr>
        <w:spacing w:line="252" w:lineRule="exact" w:before="0"/>
        <w:ind w:left="305" w:right="0" w:firstLine="0"/>
        <w:jc w:val="both"/>
        <w:rPr>
          <w:i/>
          <w:sz w:val="22"/>
        </w:rPr>
      </w:pPr>
      <w:r>
        <w:rPr>
          <w:i/>
          <w:sz w:val="22"/>
        </w:rPr>
        <w:t>.................... , assistit per la secretària de la corporació, senyora Mireia Grau i Sadurní.</w:t>
      </w:r>
    </w:p>
    <w:p>
      <w:pPr>
        <w:pStyle w:val="BodyText"/>
        <w:rPr>
          <w:i/>
        </w:rPr>
      </w:pPr>
    </w:p>
    <w:p>
      <w:pPr>
        <w:spacing w:before="0"/>
        <w:ind w:left="305" w:right="274" w:firstLine="0"/>
        <w:jc w:val="both"/>
        <w:rPr>
          <w:i/>
          <w:sz w:val="22"/>
        </w:rPr>
      </w:pPr>
      <w:r>
        <w:rPr>
          <w:i/>
          <w:sz w:val="22"/>
        </w:rPr>
        <w:t>Les parts actuen en ús de les atribucions dels seus respectius càrrecs i en l'àmbit de les </w:t>
      </w:r>
      <w:r>
        <w:rPr>
          <w:i/>
          <w:sz w:val="22"/>
        </w:rPr>
        <w:t>seves respectives competències, es reconeixen mútuament capacitat jurídica i d'obrar per formalitzar el present document i,</w:t>
      </w:r>
    </w:p>
    <w:p>
      <w:pPr>
        <w:pStyle w:val="BodyText"/>
        <w:spacing w:before="1"/>
        <w:rPr>
          <w:i/>
        </w:rPr>
      </w:pPr>
    </w:p>
    <w:p>
      <w:pPr>
        <w:spacing w:before="0"/>
        <w:ind w:left="305" w:right="0" w:firstLine="0"/>
        <w:jc w:val="both"/>
        <w:rPr>
          <w:i/>
          <w:sz w:val="22"/>
        </w:rPr>
      </w:pPr>
      <w:r>
        <w:rPr>
          <w:i/>
          <w:sz w:val="22"/>
        </w:rPr>
        <w:t>MANIFESTEN</w:t>
      </w:r>
    </w:p>
    <w:p>
      <w:pPr>
        <w:pStyle w:val="BodyText"/>
        <w:rPr>
          <w:i/>
        </w:rPr>
      </w:pPr>
    </w:p>
    <w:p>
      <w:pPr>
        <w:spacing w:before="0"/>
        <w:ind w:left="305" w:right="270" w:firstLine="0"/>
        <w:jc w:val="both"/>
        <w:rPr>
          <w:i/>
          <w:sz w:val="22"/>
        </w:rPr>
      </w:pPr>
      <w:r>
        <w:rPr>
          <w:i/>
          <w:sz w:val="22"/>
        </w:rPr>
        <w:t>I.- L’Ajuntament de Sant Joan de les Abadesses és el titular de la depuradora de Cal Gat </w:t>
      </w:r>
      <w:r>
        <w:rPr>
          <w:i/>
          <w:sz w:val="22"/>
        </w:rPr>
        <w:t>ubicada al polígon industrial de Cal Gat del municipi de Sant Joan de les Abadesses, les característiques tècniques de la qual es detallen a la Fitxa tècnica que s’adjunta a aquest conveni.</w:t>
      </w:r>
    </w:p>
    <w:p>
      <w:pPr>
        <w:pStyle w:val="BodyText"/>
        <w:spacing w:before="1"/>
        <w:rPr>
          <w:i/>
        </w:rPr>
      </w:pPr>
    </w:p>
    <w:p>
      <w:pPr>
        <w:spacing w:before="0"/>
        <w:ind w:left="305" w:right="270" w:firstLine="0"/>
        <w:jc w:val="both"/>
        <w:rPr>
          <w:i/>
          <w:sz w:val="22"/>
        </w:rPr>
      </w:pPr>
      <w:r>
        <w:rPr>
          <w:i/>
          <w:sz w:val="22"/>
        </w:rPr>
        <w:t>El director de l’Àrea de Gestió del Medi de l’Agència Catalana de l’Aigua va dictar </w:t>
      </w:r>
      <w:r>
        <w:rPr>
          <w:i/>
          <w:sz w:val="22"/>
        </w:rPr>
        <w:t>Resolució de data 17 de novembre de 2015, per la qual renovava al Consell Comarcal del Ripollès l’autorització d’abocament a la llera pública de les aigües residuals sanitàries depurades procedents del polígon industrial Cal Gat del terme municipal de Sant Joan de les Abadesses.</w:t>
      </w:r>
    </w:p>
    <w:p>
      <w:pPr>
        <w:pStyle w:val="BodyText"/>
        <w:spacing w:before="10"/>
        <w:rPr>
          <w:i/>
          <w:sz w:val="21"/>
        </w:rPr>
      </w:pPr>
    </w:p>
    <w:p>
      <w:pPr>
        <w:spacing w:before="0"/>
        <w:ind w:left="305" w:right="274" w:firstLine="0"/>
        <w:jc w:val="both"/>
        <w:rPr>
          <w:i/>
          <w:sz w:val="22"/>
        </w:rPr>
      </w:pPr>
      <w:r>
        <w:rPr>
          <w:i/>
          <w:sz w:val="22"/>
        </w:rPr>
        <w:t>II.- El Consell Comarcal del Ripollès, dins del seu àmbit territorial, gestiona per delegació </w:t>
      </w:r>
      <w:r>
        <w:rPr>
          <w:i/>
          <w:sz w:val="22"/>
        </w:rPr>
        <w:t>respectius ajuntaments, els sistemes de sanejament dels municipis de Campdevànol, Camprodon, Llanars, Planoles, Queralbs (Núria), Ribes de Freser, Ripoll, Sant Joan de les Abadesses, Sant Pau de Segúries, Setcases i Toses (Nevà), i s’encarrega de la seva explotació, manteniment i conservació mitjançant una empresa privada, a través </w:t>
      </w:r>
      <w:r>
        <w:rPr>
          <w:i/>
          <w:spacing w:val="-3"/>
          <w:sz w:val="22"/>
        </w:rPr>
        <w:t>d’un </w:t>
      </w:r>
      <w:r>
        <w:rPr>
          <w:i/>
          <w:sz w:val="22"/>
        </w:rPr>
        <w:t>contracte de</w:t>
      </w:r>
      <w:r>
        <w:rPr>
          <w:i/>
          <w:spacing w:val="-3"/>
          <w:sz w:val="22"/>
        </w:rPr>
        <w:t> </w:t>
      </w:r>
      <w:r>
        <w:rPr>
          <w:i/>
          <w:sz w:val="22"/>
        </w:rPr>
        <w:t>serveis.</w:t>
      </w:r>
    </w:p>
    <w:p>
      <w:pPr>
        <w:spacing w:after="0"/>
        <w:jc w:val="both"/>
        <w:rPr>
          <w:sz w:val="22"/>
        </w:rPr>
        <w:sectPr>
          <w:headerReference w:type="default" r:id="rId19"/>
          <w:footerReference w:type="default" r:id="rId20"/>
          <w:pgSz w:w="11910" w:h="16840"/>
          <w:pgMar w:header="766" w:footer="0" w:top="1920" w:bottom="280" w:left="1680" w:right="860"/>
        </w:sectPr>
      </w:pPr>
    </w:p>
    <w:p>
      <w:pPr>
        <w:pStyle w:val="BodyText"/>
        <w:rPr>
          <w:i/>
          <w:sz w:val="20"/>
        </w:rPr>
      </w:pPr>
      <w:r>
        <w:rPr/>
        <w:pict>
          <v:shape style="position:absolute;margin-left:46.0816pt;margin-top:295.227448pt;width:11pt;height:413.3pt;mso-position-horizontal-relative:page;mso-position-vertical-relative:page;z-index:1264"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i/>
          <w:sz w:val="19"/>
        </w:rPr>
      </w:pPr>
    </w:p>
    <w:p>
      <w:pPr>
        <w:spacing w:before="94"/>
        <w:ind w:left="305" w:right="269" w:firstLine="0"/>
        <w:jc w:val="both"/>
        <w:rPr>
          <w:i/>
          <w:sz w:val="22"/>
        </w:rPr>
      </w:pPr>
      <w:r>
        <w:rPr>
          <w:i/>
          <w:sz w:val="22"/>
        </w:rPr>
        <w:t>Entre les competències que legalment té atribuïdes el Consell Comarcal del Ripollès, hi </w:t>
      </w:r>
      <w:r>
        <w:rPr>
          <w:i/>
          <w:sz w:val="22"/>
        </w:rPr>
        <w:t>ha l’exercici de les funcions d’assistència i cooperació als diferents municipis, tenint en compte les seves</w:t>
      </w:r>
      <w:r>
        <w:rPr>
          <w:i/>
          <w:spacing w:val="-3"/>
          <w:sz w:val="22"/>
        </w:rPr>
        <w:t> </w:t>
      </w:r>
      <w:r>
        <w:rPr>
          <w:i/>
          <w:sz w:val="22"/>
        </w:rPr>
        <w:t>necessitats.</w:t>
      </w:r>
    </w:p>
    <w:p>
      <w:pPr>
        <w:pStyle w:val="BodyText"/>
        <w:spacing w:before="10"/>
        <w:rPr>
          <w:i/>
          <w:sz w:val="21"/>
        </w:rPr>
      </w:pPr>
    </w:p>
    <w:p>
      <w:pPr>
        <w:pStyle w:val="ListParagraph"/>
        <w:numPr>
          <w:ilvl w:val="0"/>
          <w:numId w:val="3"/>
        </w:numPr>
        <w:tabs>
          <w:tab w:pos="680" w:val="left" w:leader="none"/>
        </w:tabs>
        <w:spacing w:line="240" w:lineRule="auto" w:before="0" w:after="0"/>
        <w:ind w:left="305" w:right="274" w:firstLine="0"/>
        <w:jc w:val="both"/>
        <w:rPr>
          <w:i/>
          <w:sz w:val="22"/>
        </w:rPr>
      </w:pPr>
      <w:r>
        <w:rPr>
          <w:i/>
          <w:sz w:val="22"/>
        </w:rPr>
        <w:t>El Consell Comarcal del Ripollès, en aquests moments, es troba en procés de </w:t>
      </w:r>
      <w:r>
        <w:rPr>
          <w:i/>
          <w:sz w:val="22"/>
        </w:rPr>
        <w:t>redacció dels plecs reguladors de la contractació del servei de manteniment i explotació dels sistemes de sanejament dels municipis que li han delegat aquesta competència. Aquest contracte tindrà una vigència de 4 anys, amb una possible pròrroga d’un any</w:t>
      </w:r>
      <w:r>
        <w:rPr>
          <w:i/>
          <w:spacing w:val="-39"/>
          <w:sz w:val="22"/>
        </w:rPr>
        <w:t> </w:t>
      </w:r>
      <w:r>
        <w:rPr>
          <w:i/>
          <w:sz w:val="22"/>
        </w:rPr>
        <w:t>més.</w:t>
      </w:r>
    </w:p>
    <w:p>
      <w:pPr>
        <w:pStyle w:val="BodyText"/>
        <w:spacing w:before="3"/>
        <w:rPr>
          <w:i/>
        </w:rPr>
      </w:pPr>
    </w:p>
    <w:p>
      <w:pPr>
        <w:pStyle w:val="ListParagraph"/>
        <w:numPr>
          <w:ilvl w:val="0"/>
          <w:numId w:val="3"/>
        </w:numPr>
        <w:tabs>
          <w:tab w:pos="711" w:val="left" w:leader="none"/>
        </w:tabs>
        <w:spacing w:line="240" w:lineRule="auto" w:before="0" w:after="0"/>
        <w:ind w:left="305" w:right="268" w:firstLine="0"/>
        <w:jc w:val="both"/>
        <w:rPr>
          <w:i/>
          <w:sz w:val="22"/>
        </w:rPr>
      </w:pPr>
      <w:r>
        <w:rPr>
          <w:i/>
          <w:sz w:val="22"/>
        </w:rPr>
        <w:t>L’Ajuntament de Sant Joan de les Abadesses ha manifestat el seu interès en </w:t>
      </w:r>
      <w:r>
        <w:rPr>
          <w:i/>
          <w:sz w:val="22"/>
        </w:rPr>
        <w:t>incorporar el servei de manteniment i explotació de la depuradora de Cal Gat com a objecte d’aquest contracte de serveis -antecedent III-, fent-se càrrec dels costos que se’n derivin, a fi d’optimitzar els recursos, actuar amb la màxima eficiència i beneficiar-se dels avantatges de l’economia</w:t>
      </w:r>
      <w:r>
        <w:rPr>
          <w:i/>
          <w:spacing w:val="-5"/>
          <w:sz w:val="22"/>
        </w:rPr>
        <w:t> </w:t>
      </w:r>
      <w:r>
        <w:rPr>
          <w:i/>
          <w:sz w:val="22"/>
        </w:rPr>
        <w:t>d’escala.</w:t>
      </w:r>
    </w:p>
    <w:p>
      <w:pPr>
        <w:pStyle w:val="BodyText"/>
        <w:spacing w:before="10"/>
        <w:rPr>
          <w:i/>
          <w:sz w:val="21"/>
        </w:rPr>
      </w:pPr>
    </w:p>
    <w:p>
      <w:pPr>
        <w:spacing w:line="480" w:lineRule="auto" w:before="0"/>
        <w:ind w:left="305" w:right="5511" w:firstLine="0"/>
        <w:jc w:val="left"/>
        <w:rPr>
          <w:i/>
          <w:sz w:val="22"/>
        </w:rPr>
      </w:pPr>
      <w:r>
        <w:rPr>
          <w:i/>
          <w:sz w:val="22"/>
        </w:rPr>
        <w:t>En conseqüència, C O N V E N E N: </w:t>
      </w:r>
      <w:r>
        <w:rPr>
          <w:i/>
          <w:sz w:val="22"/>
        </w:rPr>
        <w:t>Primer.- Objecte del conveni</w:t>
      </w:r>
    </w:p>
    <w:p>
      <w:pPr>
        <w:pStyle w:val="ListParagraph"/>
        <w:numPr>
          <w:ilvl w:val="1"/>
          <w:numId w:val="4"/>
        </w:numPr>
        <w:tabs>
          <w:tab w:pos="737" w:val="left" w:leader="none"/>
        </w:tabs>
        <w:spacing w:line="240" w:lineRule="auto" w:before="1" w:after="0"/>
        <w:ind w:left="305" w:right="268" w:firstLine="0"/>
        <w:jc w:val="both"/>
        <w:rPr>
          <w:i/>
          <w:sz w:val="22"/>
        </w:rPr>
      </w:pPr>
      <w:r>
        <w:rPr>
          <w:i/>
          <w:sz w:val="22"/>
        </w:rPr>
        <w:t>L'objecte d'aquest conveni és regular l’encàrrec que l’Ajuntament de Sant Joan de les </w:t>
      </w:r>
      <w:r>
        <w:rPr>
          <w:i/>
          <w:sz w:val="22"/>
        </w:rPr>
        <w:t>Abadesses efectua al Consell Comarcal del Ripollès, per incorporar el servei de manteniment i explotació de la depuradora de Cal Gat, com una prestació més de la licitació del servei de manteniment i explotació dels sistemes de sanejament de Campdevànol, Camprodon, Llanars, Nevà (Toses), Planoles, Ribes de Freser, Ripoll, Sant Joan de les Abadesses, Sant Pau de Segúries, Setcases i Vall de Núria</w:t>
      </w:r>
      <w:r>
        <w:rPr>
          <w:i/>
          <w:spacing w:val="-33"/>
          <w:sz w:val="22"/>
        </w:rPr>
        <w:t> </w:t>
      </w:r>
      <w:r>
        <w:rPr>
          <w:i/>
          <w:sz w:val="22"/>
        </w:rPr>
        <w:t>(Queralbs).</w:t>
      </w:r>
    </w:p>
    <w:p>
      <w:pPr>
        <w:pStyle w:val="BodyText"/>
        <w:spacing w:before="10"/>
        <w:rPr>
          <w:i/>
          <w:sz w:val="21"/>
        </w:rPr>
      </w:pPr>
    </w:p>
    <w:p>
      <w:pPr>
        <w:pStyle w:val="ListParagraph"/>
        <w:numPr>
          <w:ilvl w:val="1"/>
          <w:numId w:val="4"/>
        </w:numPr>
        <w:tabs>
          <w:tab w:pos="754" w:val="left" w:leader="none"/>
        </w:tabs>
        <w:spacing w:line="240" w:lineRule="auto" w:before="0" w:after="0"/>
        <w:ind w:left="305" w:right="273" w:firstLine="0"/>
        <w:jc w:val="both"/>
        <w:rPr>
          <w:i/>
          <w:sz w:val="22"/>
        </w:rPr>
      </w:pPr>
      <w:r>
        <w:rPr>
          <w:i/>
          <w:sz w:val="22"/>
        </w:rPr>
        <w:t>Aquest encàrrec en cap cas comporta una delegació de la competència per part de </w:t>
      </w:r>
      <w:r>
        <w:rPr>
          <w:i/>
          <w:sz w:val="22"/>
        </w:rPr>
        <w:t>l’Ajuntament de Sant Joan de les</w:t>
      </w:r>
      <w:r>
        <w:rPr>
          <w:i/>
          <w:spacing w:val="-4"/>
          <w:sz w:val="22"/>
        </w:rPr>
        <w:t> </w:t>
      </w:r>
      <w:r>
        <w:rPr>
          <w:i/>
          <w:sz w:val="22"/>
        </w:rPr>
        <w:t>Abadesses.</w:t>
      </w:r>
    </w:p>
    <w:p>
      <w:pPr>
        <w:pStyle w:val="BodyText"/>
        <w:spacing w:before="2"/>
        <w:rPr>
          <w:i/>
        </w:rPr>
      </w:pPr>
    </w:p>
    <w:p>
      <w:pPr>
        <w:pStyle w:val="ListParagraph"/>
        <w:numPr>
          <w:ilvl w:val="1"/>
          <w:numId w:val="4"/>
        </w:numPr>
        <w:tabs>
          <w:tab w:pos="757" w:val="left" w:leader="none"/>
        </w:tabs>
        <w:spacing w:line="240" w:lineRule="auto" w:before="0" w:after="0"/>
        <w:ind w:left="305" w:right="273" w:firstLine="0"/>
        <w:jc w:val="both"/>
        <w:rPr>
          <w:i/>
          <w:sz w:val="22"/>
        </w:rPr>
      </w:pPr>
      <w:r>
        <w:rPr>
          <w:i/>
          <w:sz w:val="22"/>
        </w:rPr>
        <w:t>La despesa anual prevista del servei de manteniment i explotació de la depuradora </w:t>
      </w:r>
      <w:r>
        <w:rPr>
          <w:i/>
          <w:sz w:val="22"/>
        </w:rPr>
        <w:t>de Cal Gat, inclosos els costos de personal, és l’import de 10.352,92 €/any, més</w:t>
      </w:r>
      <w:r>
        <w:rPr>
          <w:i/>
          <w:spacing w:val="-1"/>
          <w:sz w:val="22"/>
        </w:rPr>
        <w:t> </w:t>
      </w:r>
      <w:r>
        <w:rPr>
          <w:i/>
          <w:sz w:val="22"/>
        </w:rPr>
        <w:t>1.032,59</w:t>
      </w:r>
    </w:p>
    <w:p>
      <w:pPr>
        <w:spacing w:before="0"/>
        <w:ind w:left="305" w:right="274" w:firstLine="0"/>
        <w:jc w:val="both"/>
        <w:rPr>
          <w:i/>
          <w:sz w:val="22"/>
        </w:rPr>
      </w:pPr>
      <w:r>
        <w:rPr>
          <w:i/>
          <w:sz w:val="22"/>
        </w:rPr>
        <w:t>€ corresponents al 10% d’IVA, que ascendeix l’import total de 11.358,51 €/any, IVA </w:t>
      </w:r>
      <w:r>
        <w:rPr>
          <w:i/>
          <w:sz w:val="22"/>
        </w:rPr>
        <w:t>inclòs.</w:t>
      </w:r>
    </w:p>
    <w:p>
      <w:pPr>
        <w:pStyle w:val="BodyText"/>
        <w:rPr>
          <w:i/>
        </w:rPr>
      </w:pPr>
    </w:p>
    <w:p>
      <w:pPr>
        <w:spacing w:before="0"/>
        <w:ind w:left="305" w:right="277" w:firstLine="0"/>
        <w:jc w:val="both"/>
        <w:rPr>
          <w:i/>
          <w:sz w:val="22"/>
        </w:rPr>
      </w:pPr>
      <w:r>
        <w:rPr>
          <w:i/>
          <w:sz w:val="22"/>
        </w:rPr>
        <w:t>L’import mensual d’aquest servei és de 860,49 €, més 86,05 € corresponents al 10% </w:t>
      </w:r>
      <w:r>
        <w:rPr>
          <w:i/>
          <w:sz w:val="22"/>
        </w:rPr>
        <w:t>d’IVA, que resulta un import mensual de 946,54 €/mes, IVA inclòs.</w:t>
      </w:r>
    </w:p>
    <w:p>
      <w:pPr>
        <w:pStyle w:val="BodyText"/>
        <w:rPr>
          <w:i/>
        </w:rPr>
      </w:pPr>
    </w:p>
    <w:p>
      <w:pPr>
        <w:spacing w:before="0"/>
        <w:ind w:left="305" w:right="0" w:firstLine="0"/>
        <w:jc w:val="both"/>
        <w:rPr>
          <w:i/>
          <w:sz w:val="22"/>
        </w:rPr>
      </w:pPr>
      <w:r>
        <w:rPr>
          <w:i/>
          <w:sz w:val="22"/>
        </w:rPr>
        <w:t>Segon.- Obligacions de les parts</w:t>
      </w:r>
    </w:p>
    <w:p>
      <w:pPr>
        <w:pStyle w:val="BodyText"/>
        <w:rPr>
          <w:i/>
        </w:rPr>
      </w:pPr>
    </w:p>
    <w:p>
      <w:pPr>
        <w:pStyle w:val="ListParagraph"/>
        <w:numPr>
          <w:ilvl w:val="1"/>
          <w:numId w:val="5"/>
        </w:numPr>
        <w:tabs>
          <w:tab w:pos="735" w:val="left" w:leader="none"/>
        </w:tabs>
        <w:spacing w:line="240" w:lineRule="auto" w:before="0" w:after="0"/>
        <w:ind w:left="734" w:right="0" w:hanging="429"/>
        <w:jc w:val="both"/>
        <w:rPr>
          <w:i/>
          <w:sz w:val="22"/>
        </w:rPr>
      </w:pPr>
      <w:r>
        <w:rPr>
          <w:i/>
          <w:sz w:val="22"/>
        </w:rPr>
        <w:t>El Consell Comarcal del Ripollès té les següents</w:t>
      </w:r>
      <w:r>
        <w:rPr>
          <w:i/>
          <w:spacing w:val="-7"/>
          <w:sz w:val="22"/>
        </w:rPr>
        <w:t> </w:t>
      </w:r>
      <w:r>
        <w:rPr>
          <w:i/>
          <w:sz w:val="22"/>
        </w:rPr>
        <w:t>obligacions:</w:t>
      </w:r>
    </w:p>
    <w:p>
      <w:pPr>
        <w:pStyle w:val="BodyText"/>
        <w:spacing w:before="1"/>
        <w:rPr>
          <w:i/>
        </w:rPr>
      </w:pPr>
    </w:p>
    <w:p>
      <w:pPr>
        <w:pStyle w:val="ListParagraph"/>
        <w:numPr>
          <w:ilvl w:val="2"/>
          <w:numId w:val="5"/>
        </w:numPr>
        <w:tabs>
          <w:tab w:pos="931" w:val="left" w:leader="none"/>
        </w:tabs>
        <w:spacing w:line="240" w:lineRule="auto" w:before="0" w:after="0"/>
        <w:ind w:left="305" w:right="275" w:firstLine="0"/>
        <w:jc w:val="both"/>
        <w:rPr>
          <w:i/>
          <w:sz w:val="22"/>
        </w:rPr>
      </w:pPr>
      <w:r>
        <w:rPr>
          <w:i/>
          <w:sz w:val="22"/>
        </w:rPr>
        <w:t>Incorporar el servei de manteniment i explotació de la depuradora de Cal Gat com </w:t>
      </w:r>
      <w:r>
        <w:rPr>
          <w:i/>
          <w:sz w:val="22"/>
        </w:rPr>
        <w:t>una prestació més de la licitació del servei de manteniment i explotació dels sistemes de sanejament dels municipis que li han delegat aquesta competència. El pressupost màxim anual que preveuran els plecs reguladors de la contractació per a la prestació d’aquest servei serà el detallat a la clàusula primera d’aquest</w:t>
      </w:r>
      <w:r>
        <w:rPr>
          <w:i/>
          <w:spacing w:val="-8"/>
          <w:sz w:val="22"/>
        </w:rPr>
        <w:t> </w:t>
      </w:r>
      <w:r>
        <w:rPr>
          <w:i/>
          <w:sz w:val="22"/>
        </w:rPr>
        <w:t>conveni.</w:t>
      </w:r>
    </w:p>
    <w:p>
      <w:pPr>
        <w:pStyle w:val="BodyText"/>
        <w:spacing w:before="10"/>
        <w:rPr>
          <w:i/>
          <w:sz w:val="21"/>
        </w:rPr>
      </w:pPr>
    </w:p>
    <w:p>
      <w:pPr>
        <w:pStyle w:val="ListParagraph"/>
        <w:numPr>
          <w:ilvl w:val="2"/>
          <w:numId w:val="5"/>
        </w:numPr>
        <w:tabs>
          <w:tab w:pos="1015" w:val="left" w:leader="none"/>
        </w:tabs>
        <w:spacing w:line="240" w:lineRule="auto" w:before="0" w:after="0"/>
        <w:ind w:left="305" w:right="275" w:firstLine="0"/>
        <w:jc w:val="both"/>
        <w:rPr>
          <w:i/>
          <w:sz w:val="22"/>
        </w:rPr>
      </w:pPr>
      <w:r>
        <w:rPr>
          <w:i/>
          <w:sz w:val="22"/>
        </w:rPr>
        <w:t>El Consell Comarcal del Ripollès comunicarà a l’Ajuntament de Sant Joan de les </w:t>
      </w:r>
      <w:r>
        <w:rPr>
          <w:i/>
          <w:sz w:val="22"/>
        </w:rPr>
        <w:t>Abadesses el preu pel qual s’hagi adjudicat el servei de manteniment i explotació de la depuradora de Cal Gat, i tots aquells altres extrems que siguin del seu interès sobre el contracte formalitzat, i exercirà el control i seguiment de l’execució de la prestació d’aquest servei durant tota la vigència del</w:t>
      </w:r>
      <w:r>
        <w:rPr>
          <w:i/>
          <w:spacing w:val="-5"/>
          <w:sz w:val="22"/>
        </w:rPr>
        <w:t> </w:t>
      </w:r>
      <w:r>
        <w:rPr>
          <w:i/>
          <w:sz w:val="22"/>
        </w:rPr>
        <w:t>contracte.</w:t>
      </w:r>
    </w:p>
    <w:p>
      <w:pPr>
        <w:spacing w:after="0" w:line="240" w:lineRule="auto"/>
        <w:jc w:val="both"/>
        <w:rPr>
          <w:sz w:val="22"/>
        </w:rPr>
        <w:sectPr>
          <w:headerReference w:type="default" r:id="rId21"/>
          <w:footerReference w:type="default" r:id="rId22"/>
          <w:pgSz w:w="11910" w:h="16840"/>
          <w:pgMar w:header="766" w:footer="0" w:top="1920" w:bottom="280" w:left="1680" w:right="860"/>
        </w:sectPr>
      </w:pPr>
    </w:p>
    <w:p>
      <w:pPr>
        <w:pStyle w:val="BodyText"/>
        <w:rPr>
          <w:i/>
          <w:sz w:val="20"/>
        </w:rPr>
      </w:pPr>
      <w:r>
        <w:rPr/>
        <w:pict>
          <v:shape style="position:absolute;margin-left:46.0816pt;margin-top:295.227448pt;width:11pt;height:413.3pt;mso-position-horizontal-relative:page;mso-position-vertical-relative:page;z-index:1288"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i/>
          <w:sz w:val="19"/>
        </w:rPr>
      </w:pPr>
    </w:p>
    <w:p>
      <w:pPr>
        <w:pStyle w:val="ListParagraph"/>
        <w:numPr>
          <w:ilvl w:val="2"/>
          <w:numId w:val="5"/>
        </w:numPr>
        <w:tabs>
          <w:tab w:pos="943" w:val="left" w:leader="none"/>
        </w:tabs>
        <w:spacing w:line="240" w:lineRule="auto" w:before="94" w:after="0"/>
        <w:ind w:left="305" w:right="271" w:firstLine="0"/>
        <w:jc w:val="both"/>
        <w:rPr>
          <w:i/>
          <w:sz w:val="22"/>
        </w:rPr>
      </w:pPr>
      <w:r>
        <w:rPr>
          <w:i/>
          <w:sz w:val="22"/>
        </w:rPr>
        <w:t>El cost del servei de manteniment i explotació de la depuradora de Cal Gat serà </w:t>
      </w:r>
      <w:r>
        <w:rPr>
          <w:i/>
          <w:sz w:val="22"/>
        </w:rPr>
        <w:t>abonada mensualment pel Consell Comarcal del Ripollès, contra presentació de la corresponent factura per part de l’empresa adjudicatària, si bé amb càrrec de  l’Ajuntament de Sant Joan de les</w:t>
      </w:r>
      <w:r>
        <w:rPr>
          <w:i/>
          <w:spacing w:val="-4"/>
          <w:sz w:val="22"/>
        </w:rPr>
        <w:t> </w:t>
      </w:r>
      <w:r>
        <w:rPr>
          <w:i/>
          <w:sz w:val="22"/>
        </w:rPr>
        <w:t>Abadesses.</w:t>
      </w:r>
    </w:p>
    <w:p>
      <w:pPr>
        <w:pStyle w:val="BodyText"/>
        <w:rPr>
          <w:i/>
        </w:rPr>
      </w:pPr>
    </w:p>
    <w:p>
      <w:pPr>
        <w:pStyle w:val="ListParagraph"/>
        <w:numPr>
          <w:ilvl w:val="2"/>
          <w:numId w:val="5"/>
        </w:numPr>
        <w:tabs>
          <w:tab w:pos="919" w:val="left" w:leader="none"/>
        </w:tabs>
        <w:spacing w:line="240" w:lineRule="auto" w:before="0" w:after="0"/>
        <w:ind w:left="918" w:right="0" w:hanging="613"/>
        <w:jc w:val="both"/>
        <w:rPr>
          <w:i/>
          <w:sz w:val="22"/>
        </w:rPr>
      </w:pPr>
      <w:r>
        <w:rPr>
          <w:i/>
          <w:sz w:val="22"/>
        </w:rPr>
        <w:t>Assegurar la correcta prestació del servei per part de l’empresa</w:t>
      </w:r>
      <w:r>
        <w:rPr>
          <w:i/>
          <w:spacing w:val="-18"/>
          <w:sz w:val="22"/>
        </w:rPr>
        <w:t> </w:t>
      </w:r>
      <w:r>
        <w:rPr>
          <w:i/>
          <w:sz w:val="22"/>
        </w:rPr>
        <w:t>adjudicatària.</w:t>
      </w:r>
    </w:p>
    <w:p>
      <w:pPr>
        <w:pStyle w:val="BodyText"/>
        <w:rPr>
          <w:i/>
        </w:rPr>
      </w:pPr>
    </w:p>
    <w:p>
      <w:pPr>
        <w:pStyle w:val="ListParagraph"/>
        <w:numPr>
          <w:ilvl w:val="2"/>
          <w:numId w:val="5"/>
        </w:numPr>
        <w:tabs>
          <w:tab w:pos="1011" w:val="left" w:leader="none"/>
        </w:tabs>
        <w:spacing w:line="240" w:lineRule="auto" w:before="0" w:after="0"/>
        <w:ind w:left="305" w:right="268" w:firstLine="0"/>
        <w:jc w:val="both"/>
        <w:rPr>
          <w:i/>
          <w:sz w:val="22"/>
        </w:rPr>
      </w:pPr>
      <w:r>
        <w:rPr>
          <w:i/>
          <w:sz w:val="22"/>
        </w:rPr>
        <w:t>Fer els controls d’abocament que determina la clàusula 3 de l’autorització </w:t>
      </w:r>
      <w:r>
        <w:rPr>
          <w:i/>
          <w:sz w:val="22"/>
        </w:rPr>
        <w:t>d’abocament a llera de les aigües residuals provinents del polígon de Cal Gat i presentar- los anualment a l’ACA tal i com determina la clàusula 6 de la mateixa autorització –a la qual es fa referència al segon paràgraf de l’antecedent I d’aquest conveni-, durant el termini d’aquesta</w:t>
      </w:r>
      <w:r>
        <w:rPr>
          <w:i/>
          <w:spacing w:val="-2"/>
          <w:sz w:val="22"/>
        </w:rPr>
        <w:t> </w:t>
      </w:r>
      <w:r>
        <w:rPr>
          <w:i/>
          <w:sz w:val="22"/>
        </w:rPr>
        <w:t>autorització.</w:t>
      </w:r>
    </w:p>
    <w:p>
      <w:pPr>
        <w:pStyle w:val="BodyText"/>
        <w:rPr>
          <w:i/>
        </w:rPr>
      </w:pPr>
    </w:p>
    <w:p>
      <w:pPr>
        <w:pStyle w:val="ListParagraph"/>
        <w:numPr>
          <w:ilvl w:val="1"/>
          <w:numId w:val="6"/>
        </w:numPr>
        <w:tabs>
          <w:tab w:pos="735" w:val="left" w:leader="none"/>
        </w:tabs>
        <w:spacing w:line="240" w:lineRule="auto" w:before="0" w:after="0"/>
        <w:ind w:left="734" w:right="0" w:hanging="429"/>
        <w:jc w:val="both"/>
        <w:rPr>
          <w:i/>
          <w:sz w:val="22"/>
        </w:rPr>
      </w:pPr>
      <w:r>
        <w:rPr>
          <w:i/>
          <w:sz w:val="22"/>
        </w:rPr>
        <w:t>L'Ajuntament de Sant Joan de les Abadesses té les següent</w:t>
      </w:r>
      <w:r>
        <w:rPr>
          <w:i/>
          <w:spacing w:val="-10"/>
          <w:sz w:val="22"/>
        </w:rPr>
        <w:t> </w:t>
      </w:r>
      <w:r>
        <w:rPr>
          <w:i/>
          <w:sz w:val="22"/>
        </w:rPr>
        <w:t>obligacions:</w:t>
      </w:r>
    </w:p>
    <w:p>
      <w:pPr>
        <w:pStyle w:val="BodyText"/>
        <w:rPr>
          <w:i/>
        </w:rPr>
      </w:pPr>
    </w:p>
    <w:p>
      <w:pPr>
        <w:pStyle w:val="ListParagraph"/>
        <w:numPr>
          <w:ilvl w:val="2"/>
          <w:numId w:val="6"/>
        </w:numPr>
        <w:tabs>
          <w:tab w:pos="1014" w:val="left" w:leader="none"/>
        </w:tabs>
        <w:spacing w:line="240" w:lineRule="auto" w:before="0" w:after="0"/>
        <w:ind w:left="305" w:right="271" w:firstLine="0"/>
        <w:jc w:val="both"/>
        <w:rPr>
          <w:i/>
          <w:sz w:val="22"/>
        </w:rPr>
      </w:pPr>
      <w:r>
        <w:rPr>
          <w:i/>
          <w:sz w:val="22"/>
        </w:rPr>
        <w:t>Pagar mensualment al Consell Comarcal del Ripollès, en el termini dels 30 dies </w:t>
      </w:r>
      <w:r>
        <w:rPr>
          <w:i/>
          <w:sz w:val="22"/>
        </w:rPr>
        <w:t>naturals posteriors a ser requerit a l’efecte, l'import que el Consell Comarcal hagi abonat a l’empresa adjudicatària per a la prestació del servei d’explotació i manteniment de la depuradora de Cal</w:t>
      </w:r>
      <w:r>
        <w:rPr>
          <w:i/>
          <w:spacing w:val="-6"/>
          <w:sz w:val="22"/>
        </w:rPr>
        <w:t> </w:t>
      </w:r>
      <w:r>
        <w:rPr>
          <w:i/>
          <w:sz w:val="22"/>
        </w:rPr>
        <w:t>Gat.</w:t>
      </w:r>
    </w:p>
    <w:p>
      <w:pPr>
        <w:pStyle w:val="BodyText"/>
        <w:rPr>
          <w:i/>
        </w:rPr>
      </w:pPr>
    </w:p>
    <w:p>
      <w:pPr>
        <w:pStyle w:val="ListParagraph"/>
        <w:numPr>
          <w:ilvl w:val="2"/>
          <w:numId w:val="6"/>
        </w:numPr>
        <w:tabs>
          <w:tab w:pos="919" w:val="left" w:leader="none"/>
        </w:tabs>
        <w:spacing w:line="240" w:lineRule="auto" w:before="0" w:after="0"/>
        <w:ind w:left="305" w:right="273" w:firstLine="0"/>
        <w:jc w:val="both"/>
        <w:rPr>
          <w:i/>
          <w:sz w:val="22"/>
        </w:rPr>
      </w:pPr>
      <w:r>
        <w:rPr>
          <w:i/>
          <w:sz w:val="22"/>
        </w:rPr>
        <w:t>Fer front a les obligacions econòmiques que es deriven d’aquest conveni a partir de </w:t>
      </w:r>
      <w:r>
        <w:rPr>
          <w:i/>
          <w:sz w:val="22"/>
        </w:rPr>
        <w:t>la formalització del contracte al qual es fa referència a l’antecedent</w:t>
      </w:r>
      <w:r>
        <w:rPr>
          <w:i/>
          <w:spacing w:val="-17"/>
          <w:sz w:val="22"/>
        </w:rPr>
        <w:t> </w:t>
      </w:r>
      <w:r>
        <w:rPr>
          <w:i/>
          <w:sz w:val="22"/>
        </w:rPr>
        <w:t>III.</w:t>
      </w:r>
    </w:p>
    <w:p>
      <w:pPr>
        <w:pStyle w:val="BodyText"/>
        <w:rPr>
          <w:i/>
        </w:rPr>
      </w:pPr>
    </w:p>
    <w:p>
      <w:pPr>
        <w:pStyle w:val="ListParagraph"/>
        <w:numPr>
          <w:ilvl w:val="2"/>
          <w:numId w:val="6"/>
        </w:numPr>
        <w:tabs>
          <w:tab w:pos="1014" w:val="left" w:leader="none"/>
        </w:tabs>
        <w:spacing w:line="240" w:lineRule="auto" w:before="0" w:after="0"/>
        <w:ind w:left="305" w:right="272" w:firstLine="0"/>
        <w:jc w:val="both"/>
        <w:rPr>
          <w:i/>
          <w:sz w:val="22"/>
        </w:rPr>
      </w:pPr>
      <w:r>
        <w:rPr>
          <w:i/>
          <w:sz w:val="22"/>
        </w:rPr>
        <w:t>Comprometre’s a dotar els pressupostos de tots els anys de vigència del </w:t>
      </w:r>
      <w:r>
        <w:rPr>
          <w:i/>
          <w:sz w:val="22"/>
        </w:rPr>
        <w:t>contracte, per fer front a la despesa del servei del manteniment i explotació de la depuradora de Cal</w:t>
      </w:r>
      <w:r>
        <w:rPr>
          <w:i/>
          <w:spacing w:val="-6"/>
          <w:sz w:val="22"/>
        </w:rPr>
        <w:t> </w:t>
      </w:r>
      <w:r>
        <w:rPr>
          <w:i/>
          <w:sz w:val="22"/>
        </w:rPr>
        <w:t>Gat.</w:t>
      </w:r>
    </w:p>
    <w:p>
      <w:pPr>
        <w:pStyle w:val="BodyText"/>
        <w:spacing w:before="1"/>
        <w:rPr>
          <w:i/>
        </w:rPr>
      </w:pPr>
    </w:p>
    <w:p>
      <w:pPr>
        <w:pStyle w:val="ListParagraph"/>
        <w:numPr>
          <w:ilvl w:val="2"/>
          <w:numId w:val="6"/>
        </w:numPr>
        <w:tabs>
          <w:tab w:pos="929" w:val="left" w:leader="none"/>
        </w:tabs>
        <w:spacing w:line="240" w:lineRule="auto" w:before="0" w:after="0"/>
        <w:ind w:left="305" w:right="269" w:firstLine="0"/>
        <w:jc w:val="both"/>
        <w:rPr>
          <w:i/>
          <w:sz w:val="22"/>
        </w:rPr>
      </w:pPr>
      <w:r>
        <w:rPr>
          <w:i/>
          <w:sz w:val="22"/>
        </w:rPr>
        <w:t>Fer-se càrrec del servei de manteniment i explotació de la depuradora de Cal Gat, </w:t>
      </w:r>
      <w:r>
        <w:rPr>
          <w:i/>
          <w:sz w:val="22"/>
        </w:rPr>
        <w:t>així com tramitar l’autorització d’abocament a la llera pública de les aigües residuals sanitàries depurades procedents del polígon industrial Cal Gat –que actualment té atorgada el Consell Comarcal del Ripollès-, un cop finalitzi la vigència del contracte subscrit pel Consell Comarcal del Ripollès -clàusula 2.2.1 d’aquest</w:t>
      </w:r>
      <w:r>
        <w:rPr>
          <w:i/>
          <w:spacing w:val="-9"/>
          <w:sz w:val="22"/>
        </w:rPr>
        <w:t> </w:t>
      </w:r>
      <w:r>
        <w:rPr>
          <w:i/>
          <w:sz w:val="22"/>
        </w:rPr>
        <w:t>conveni-.</w:t>
      </w:r>
    </w:p>
    <w:p>
      <w:pPr>
        <w:pStyle w:val="BodyText"/>
        <w:spacing w:before="10"/>
        <w:rPr>
          <w:i/>
          <w:sz w:val="21"/>
        </w:rPr>
      </w:pPr>
    </w:p>
    <w:p>
      <w:pPr>
        <w:spacing w:before="0"/>
        <w:ind w:left="305" w:right="0" w:firstLine="0"/>
        <w:jc w:val="both"/>
        <w:rPr>
          <w:i/>
          <w:sz w:val="22"/>
        </w:rPr>
      </w:pPr>
      <w:r>
        <w:rPr>
          <w:i/>
          <w:sz w:val="22"/>
        </w:rPr>
        <w:t>Tercer.- Vigència</w:t>
      </w:r>
    </w:p>
    <w:p>
      <w:pPr>
        <w:pStyle w:val="BodyText"/>
        <w:spacing w:before="1"/>
        <w:rPr>
          <w:i/>
        </w:rPr>
      </w:pPr>
    </w:p>
    <w:p>
      <w:pPr>
        <w:spacing w:before="0"/>
        <w:ind w:left="305" w:right="277" w:firstLine="0"/>
        <w:jc w:val="both"/>
        <w:rPr>
          <w:i/>
          <w:sz w:val="22"/>
        </w:rPr>
      </w:pPr>
      <w:r>
        <w:rPr>
          <w:i/>
          <w:sz w:val="22"/>
        </w:rPr>
        <w:t>Aquest conveni serà vigent durant un termini de 4 anys, a comptar de de la data de la </w:t>
      </w:r>
      <w:r>
        <w:rPr>
          <w:i/>
          <w:sz w:val="22"/>
        </w:rPr>
        <w:t>seva formalització.</w:t>
      </w:r>
    </w:p>
    <w:p>
      <w:pPr>
        <w:pStyle w:val="BodyText"/>
        <w:rPr>
          <w:i/>
        </w:rPr>
      </w:pPr>
    </w:p>
    <w:p>
      <w:pPr>
        <w:spacing w:before="0"/>
        <w:ind w:left="305" w:right="270" w:firstLine="0"/>
        <w:jc w:val="both"/>
        <w:rPr>
          <w:i/>
          <w:sz w:val="22"/>
        </w:rPr>
      </w:pPr>
      <w:r>
        <w:rPr>
          <w:i/>
          <w:sz w:val="22"/>
        </w:rPr>
        <w:t>Aquest conveni es podrà prorrogar d’any en any i pel termini que sigui necessari a fi que </w:t>
      </w:r>
      <w:r>
        <w:rPr>
          <w:i/>
          <w:sz w:val="22"/>
        </w:rPr>
        <w:t>la seva vigència sigui coincident amb la del contracte subscrit pel Consell Comarcal del Ripollès -antecedent III-. La/es possible/s pròrroga/gues requeriran el previ acord de l’òrgan competent de les dues administracions que subscriuen aquest conveni, que haurà de ser adoptat amb una antelació mínima de 3 mesos a la data d’expiració del termini inicial de la seva vigència i de qualsevol de les serves</w:t>
      </w:r>
      <w:r>
        <w:rPr>
          <w:i/>
          <w:spacing w:val="-11"/>
          <w:sz w:val="22"/>
        </w:rPr>
        <w:t> </w:t>
      </w:r>
      <w:r>
        <w:rPr>
          <w:i/>
          <w:sz w:val="22"/>
        </w:rPr>
        <w:t>pròrrogues.</w:t>
      </w:r>
    </w:p>
    <w:p>
      <w:pPr>
        <w:pStyle w:val="BodyText"/>
        <w:rPr>
          <w:i/>
        </w:rPr>
      </w:pPr>
    </w:p>
    <w:p>
      <w:pPr>
        <w:spacing w:line="480" w:lineRule="auto" w:before="0"/>
        <w:ind w:left="305" w:right="1597" w:firstLine="0"/>
        <w:jc w:val="left"/>
        <w:rPr>
          <w:i/>
          <w:sz w:val="22"/>
        </w:rPr>
      </w:pPr>
      <w:r>
        <w:rPr>
          <w:i/>
          <w:sz w:val="22"/>
        </w:rPr>
        <w:t>En tot cas, la suma de totes les pròrrogues no podrà ser superior als 4 anys. </w:t>
      </w:r>
      <w:r>
        <w:rPr>
          <w:i/>
          <w:sz w:val="22"/>
        </w:rPr>
        <w:t>Quart. Comissió de seguiment</w:t>
      </w:r>
    </w:p>
    <w:p>
      <w:pPr>
        <w:spacing w:before="2"/>
        <w:ind w:left="305" w:right="271" w:firstLine="0"/>
        <w:jc w:val="both"/>
        <w:rPr>
          <w:i/>
          <w:sz w:val="22"/>
        </w:rPr>
      </w:pPr>
      <w:r>
        <w:rPr>
          <w:i/>
          <w:sz w:val="22"/>
        </w:rPr>
        <w:t>Per tal de fer el seguiment i la valoració del present conveni, es podrà constituir una </w:t>
      </w:r>
      <w:r>
        <w:rPr>
          <w:i/>
          <w:sz w:val="22"/>
        </w:rPr>
        <w:t>comissió de seguiment, que estarà integrada per un representant del Consell Comarcal i un representant de l’Ajuntament, que es reunirà amb la periodicitat que resulti necessària, a petició de qualsevol dels ens signants.</w:t>
      </w:r>
    </w:p>
    <w:p>
      <w:pPr>
        <w:spacing w:after="0"/>
        <w:jc w:val="both"/>
        <w:rPr>
          <w:sz w:val="22"/>
        </w:rPr>
        <w:sectPr>
          <w:headerReference w:type="default" r:id="rId23"/>
          <w:footerReference w:type="default" r:id="rId24"/>
          <w:pgSz w:w="11910" w:h="16840"/>
          <w:pgMar w:header="766" w:footer="0" w:top="1920" w:bottom="280" w:left="1680" w:right="860"/>
        </w:sectPr>
      </w:pPr>
    </w:p>
    <w:p>
      <w:pPr>
        <w:pStyle w:val="BodyText"/>
        <w:rPr>
          <w:i/>
          <w:sz w:val="20"/>
        </w:rPr>
      </w:pPr>
      <w:r>
        <w:rPr/>
        <w:pict>
          <v:shape style="position:absolute;margin-left:46.0816pt;margin-top:295.227448pt;width:11pt;height:413.3pt;mso-position-horizontal-relative:page;mso-position-vertical-relative:page;z-index:1312"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i/>
          <w:sz w:val="19"/>
        </w:rPr>
      </w:pPr>
    </w:p>
    <w:p>
      <w:pPr>
        <w:spacing w:before="94"/>
        <w:ind w:left="305" w:right="0" w:firstLine="0"/>
        <w:jc w:val="both"/>
        <w:rPr>
          <w:i/>
          <w:sz w:val="22"/>
        </w:rPr>
      </w:pPr>
      <w:r>
        <w:rPr>
          <w:i/>
          <w:sz w:val="22"/>
        </w:rPr>
        <w:t>Cinquè.- Publicitat del conveni</w:t>
      </w:r>
    </w:p>
    <w:p>
      <w:pPr>
        <w:pStyle w:val="BodyText"/>
        <w:rPr>
          <w:i/>
        </w:rPr>
      </w:pPr>
    </w:p>
    <w:p>
      <w:pPr>
        <w:spacing w:before="0"/>
        <w:ind w:left="305" w:right="272" w:firstLine="0"/>
        <w:jc w:val="both"/>
        <w:rPr>
          <w:i/>
          <w:sz w:val="22"/>
        </w:rPr>
      </w:pPr>
      <w:r>
        <w:rPr>
          <w:i/>
          <w:sz w:val="22"/>
        </w:rPr>
        <w:t>El Consell Comarcal del Ripollès publicarà aquest conveni en el Butlletí oficial de la </w:t>
      </w:r>
      <w:r>
        <w:rPr>
          <w:i/>
          <w:sz w:val="22"/>
        </w:rPr>
        <w:t>província de Girona i al Diari Oficial de la Generalitat de Catalunya.</w:t>
      </w:r>
    </w:p>
    <w:p>
      <w:pPr>
        <w:pStyle w:val="BodyText"/>
        <w:rPr>
          <w:i/>
        </w:rPr>
      </w:pPr>
    </w:p>
    <w:p>
      <w:pPr>
        <w:spacing w:before="0"/>
        <w:ind w:left="305" w:right="319" w:firstLine="0"/>
        <w:jc w:val="both"/>
        <w:rPr>
          <w:i/>
          <w:sz w:val="22"/>
        </w:rPr>
      </w:pPr>
      <w:r>
        <w:rPr>
          <w:i/>
          <w:sz w:val="22"/>
        </w:rPr>
        <w:t>El Consell Comarcal també el registrarà en el Registre de convenis de col·laboració i </w:t>
      </w:r>
      <w:r>
        <w:rPr>
          <w:i/>
          <w:sz w:val="22"/>
        </w:rPr>
        <w:t>cooperació de la Generalitat. Igualment, haurà de publicar-se a les pàgines webs dels ens signants.</w:t>
      </w:r>
    </w:p>
    <w:p>
      <w:pPr>
        <w:pStyle w:val="BodyText"/>
        <w:spacing w:before="1"/>
        <w:rPr>
          <w:i/>
        </w:rPr>
      </w:pPr>
    </w:p>
    <w:p>
      <w:pPr>
        <w:spacing w:before="0"/>
        <w:ind w:left="305" w:right="0" w:firstLine="0"/>
        <w:jc w:val="both"/>
        <w:rPr>
          <w:i/>
          <w:sz w:val="22"/>
        </w:rPr>
      </w:pPr>
      <w:r>
        <w:rPr>
          <w:i/>
          <w:sz w:val="22"/>
        </w:rPr>
        <w:t>Sisè.- Extinció i incompliments</w:t>
      </w:r>
    </w:p>
    <w:p>
      <w:pPr>
        <w:pStyle w:val="BodyText"/>
        <w:spacing w:before="10"/>
        <w:rPr>
          <w:i/>
          <w:sz w:val="21"/>
        </w:rPr>
      </w:pPr>
    </w:p>
    <w:p>
      <w:pPr>
        <w:spacing w:before="0"/>
        <w:ind w:left="305" w:right="0" w:firstLine="0"/>
        <w:jc w:val="both"/>
        <w:rPr>
          <w:i/>
          <w:sz w:val="22"/>
        </w:rPr>
      </w:pPr>
      <w:r>
        <w:rPr>
          <w:i/>
          <w:sz w:val="22"/>
        </w:rPr>
        <w:t>Les causes de resolució d'aquest conveni seran:</w:t>
      </w:r>
    </w:p>
    <w:p>
      <w:pPr>
        <w:pStyle w:val="BodyText"/>
        <w:rPr>
          <w:i/>
        </w:rPr>
      </w:pPr>
    </w:p>
    <w:p>
      <w:pPr>
        <w:pStyle w:val="ListParagraph"/>
        <w:numPr>
          <w:ilvl w:val="0"/>
          <w:numId w:val="7"/>
        </w:numPr>
        <w:tabs>
          <w:tab w:pos="1025" w:val="left" w:leader="none"/>
          <w:tab w:pos="1026" w:val="left" w:leader="none"/>
        </w:tabs>
        <w:spacing w:line="269" w:lineRule="exact" w:before="0" w:after="0"/>
        <w:ind w:left="1025" w:right="0" w:hanging="360"/>
        <w:jc w:val="left"/>
        <w:rPr>
          <w:i/>
          <w:sz w:val="22"/>
        </w:rPr>
      </w:pPr>
      <w:r>
        <w:rPr>
          <w:i/>
          <w:sz w:val="22"/>
        </w:rPr>
        <w:t>Per comú acord entre les</w:t>
      </w:r>
      <w:r>
        <w:rPr>
          <w:i/>
          <w:spacing w:val="-1"/>
          <w:sz w:val="22"/>
        </w:rPr>
        <w:t> </w:t>
      </w:r>
      <w:r>
        <w:rPr>
          <w:i/>
          <w:sz w:val="22"/>
        </w:rPr>
        <w:t>parts.</w:t>
      </w:r>
    </w:p>
    <w:p>
      <w:pPr>
        <w:pStyle w:val="ListParagraph"/>
        <w:numPr>
          <w:ilvl w:val="0"/>
          <w:numId w:val="7"/>
        </w:numPr>
        <w:tabs>
          <w:tab w:pos="1025" w:val="left" w:leader="none"/>
          <w:tab w:pos="1026" w:val="left" w:leader="none"/>
        </w:tabs>
        <w:spacing w:line="237" w:lineRule="auto" w:before="2" w:after="0"/>
        <w:ind w:left="1025" w:right="278" w:hanging="360"/>
        <w:jc w:val="left"/>
        <w:rPr>
          <w:i/>
          <w:sz w:val="22"/>
        </w:rPr>
      </w:pPr>
      <w:r>
        <w:rPr>
          <w:i/>
          <w:sz w:val="22"/>
        </w:rPr>
        <w:t>Per incompliment de les obligacions que es deriven d'aquest conveni per part </w:t>
      </w:r>
      <w:r>
        <w:rPr>
          <w:i/>
          <w:sz w:val="22"/>
        </w:rPr>
        <w:t>d’alguna de les parts</w:t>
      </w:r>
      <w:r>
        <w:rPr>
          <w:i/>
          <w:spacing w:val="-3"/>
          <w:sz w:val="22"/>
        </w:rPr>
        <w:t> </w:t>
      </w:r>
      <w:r>
        <w:rPr>
          <w:i/>
          <w:sz w:val="22"/>
        </w:rPr>
        <w:t>subscriptores.</w:t>
      </w:r>
    </w:p>
    <w:p>
      <w:pPr>
        <w:pStyle w:val="ListParagraph"/>
        <w:numPr>
          <w:ilvl w:val="0"/>
          <w:numId w:val="7"/>
        </w:numPr>
        <w:tabs>
          <w:tab w:pos="1025" w:val="left" w:leader="none"/>
          <w:tab w:pos="1026" w:val="left" w:leader="none"/>
        </w:tabs>
        <w:spacing w:line="240" w:lineRule="auto" w:before="1" w:after="0"/>
        <w:ind w:left="1025" w:right="0" w:hanging="360"/>
        <w:jc w:val="left"/>
        <w:rPr>
          <w:i/>
          <w:sz w:val="22"/>
        </w:rPr>
      </w:pPr>
      <w:r>
        <w:rPr>
          <w:i/>
          <w:sz w:val="22"/>
        </w:rPr>
        <w:t>Per qualsevol de les causes legalment</w:t>
      </w:r>
      <w:r>
        <w:rPr>
          <w:i/>
          <w:spacing w:val="-4"/>
          <w:sz w:val="22"/>
        </w:rPr>
        <w:t> </w:t>
      </w:r>
      <w:r>
        <w:rPr>
          <w:i/>
          <w:sz w:val="22"/>
        </w:rPr>
        <w:t>establertes.</w:t>
      </w:r>
    </w:p>
    <w:p>
      <w:pPr>
        <w:pStyle w:val="BodyText"/>
        <w:spacing w:before="10"/>
        <w:rPr>
          <w:i/>
          <w:sz w:val="21"/>
        </w:rPr>
      </w:pPr>
    </w:p>
    <w:p>
      <w:pPr>
        <w:spacing w:before="0"/>
        <w:ind w:left="305" w:right="268" w:firstLine="0"/>
        <w:jc w:val="both"/>
        <w:rPr>
          <w:i/>
          <w:sz w:val="22"/>
        </w:rPr>
      </w:pPr>
      <w:r>
        <w:rPr>
          <w:i/>
          <w:sz w:val="22"/>
        </w:rPr>
        <w:t>Més enllà de la resolució del conveni per incompliment de les obligacions d’alguna de les </w:t>
      </w:r>
      <w:r>
        <w:rPr>
          <w:i/>
          <w:sz w:val="22"/>
        </w:rPr>
        <w:t>parts subscriptores, si finalitzats els terminis voluntaris de pagament i ingrés dels imports acordats, l’Ajuntament no ha fet el pagament corresponent, el Consell Comarcal podrà compensar el deute pendent amb el pagament de qualsevol crèdit que el deutor tingui o pugui tenir, per qualsevol concepte, amb el Consell Comarcal del Ripollès o amb el Consorci Servei de Recaptació Cerdanya Ripollès.</w:t>
      </w:r>
    </w:p>
    <w:p>
      <w:pPr>
        <w:pStyle w:val="BodyText"/>
        <w:spacing w:before="1"/>
        <w:rPr>
          <w:i/>
        </w:rPr>
      </w:pPr>
    </w:p>
    <w:p>
      <w:pPr>
        <w:spacing w:before="0"/>
        <w:ind w:left="305" w:right="0" w:firstLine="0"/>
        <w:jc w:val="both"/>
        <w:rPr>
          <w:i/>
          <w:sz w:val="22"/>
        </w:rPr>
      </w:pPr>
      <w:r>
        <w:rPr>
          <w:i/>
          <w:sz w:val="22"/>
        </w:rPr>
        <w:t>Setè.- Naturalesa jurídica del conveni i règim aplicable</w:t>
      </w:r>
    </w:p>
    <w:p>
      <w:pPr>
        <w:pStyle w:val="BodyText"/>
        <w:spacing w:before="9"/>
        <w:rPr>
          <w:i/>
          <w:sz w:val="21"/>
        </w:rPr>
      </w:pPr>
    </w:p>
    <w:p>
      <w:pPr>
        <w:spacing w:before="1"/>
        <w:ind w:left="305" w:right="273" w:firstLine="0"/>
        <w:jc w:val="both"/>
        <w:rPr>
          <w:i/>
          <w:sz w:val="22"/>
        </w:rPr>
      </w:pPr>
      <w:r>
        <w:rPr>
          <w:i/>
          <w:sz w:val="22"/>
        </w:rPr>
        <w:t>Aquest document és un conveni interadministratiu de caràcter voluntari i base negocial </w:t>
      </w:r>
      <w:r>
        <w:rPr>
          <w:i/>
          <w:sz w:val="22"/>
        </w:rPr>
        <w:t>realitzat sobre la base dels articles 303 i següents del Decret 179/1995, de 13 de juny, pel qual s'aprova el Reglament d'obres, activitats i serveis dels ens locals de Catalunya.</w:t>
      </w:r>
    </w:p>
    <w:p>
      <w:pPr>
        <w:pStyle w:val="BodyText"/>
        <w:rPr>
          <w:i/>
        </w:rPr>
      </w:pPr>
    </w:p>
    <w:p>
      <w:pPr>
        <w:spacing w:before="1"/>
        <w:ind w:left="305" w:right="274" w:firstLine="0"/>
        <w:jc w:val="both"/>
        <w:rPr>
          <w:i/>
          <w:sz w:val="22"/>
        </w:rPr>
      </w:pPr>
      <w:r>
        <w:rPr>
          <w:i/>
          <w:sz w:val="22"/>
        </w:rPr>
        <w:t>En conseqüència, la naturalesa jurídica d'aquest conveni és administrativa per raó </w:t>
      </w:r>
      <w:r>
        <w:rPr>
          <w:i/>
          <w:sz w:val="22"/>
        </w:rPr>
        <w:t>subjectiva ,i per tant, el règim jurídic aplicable serà el dret administratiu, de manera que davant de qualsevol divergència en la seva aplicació i/o interpretació, serà la jurisdicció contenciosa administrativa la competent per a la seva resolució.</w:t>
      </w:r>
    </w:p>
    <w:p>
      <w:pPr>
        <w:pStyle w:val="BodyText"/>
        <w:rPr>
          <w:i/>
        </w:rPr>
      </w:pPr>
    </w:p>
    <w:p>
      <w:pPr>
        <w:spacing w:before="0"/>
        <w:ind w:left="305" w:right="267" w:firstLine="0"/>
        <w:jc w:val="both"/>
        <w:rPr>
          <w:i/>
          <w:sz w:val="22"/>
        </w:rPr>
      </w:pPr>
      <w:r>
        <w:rPr>
          <w:i/>
          <w:sz w:val="22"/>
        </w:rPr>
        <w:t>I com a prova de conformitat, les parts signen aquest exemplar per duplicat i a un sol </w:t>
      </w:r>
      <w:r>
        <w:rPr>
          <w:i/>
          <w:sz w:val="22"/>
        </w:rPr>
        <w:t>efecte.”</w:t>
      </w:r>
    </w:p>
    <w:p>
      <w:pPr>
        <w:pStyle w:val="BodyText"/>
        <w:spacing w:before="11"/>
        <w:rPr>
          <w:i/>
          <w:sz w:val="21"/>
        </w:rPr>
      </w:pPr>
    </w:p>
    <w:p>
      <w:pPr>
        <w:pStyle w:val="BodyText"/>
        <w:ind w:left="305" w:right="274"/>
        <w:jc w:val="both"/>
      </w:pPr>
      <w:r>
        <w:rPr/>
        <w:t>SEGON.- Facultar a l´alcalde-president, Sr. Ramon Roqué i Riu, per subscriure aquest conveni i totes els altres documents que es derivin d’aquest acord.</w:t>
      </w:r>
    </w:p>
    <w:p>
      <w:pPr>
        <w:pStyle w:val="BodyText"/>
        <w:spacing w:before="2"/>
      </w:pPr>
    </w:p>
    <w:p>
      <w:pPr>
        <w:pStyle w:val="BodyText"/>
        <w:ind w:left="305" w:right="271"/>
        <w:jc w:val="both"/>
      </w:pPr>
      <w:r>
        <w:rPr/>
        <w:t>TERCER.- Encarregar al Consell Comarcal del Ripollès la publicació d´ aquesta encomana de gestió al Butlletí oficial de la província i al Diari Oficial de la Generalitat de Catalunya, així com també la seva inscripció en el Registre públic de convenis de la Generalitat de Catalunya.</w:t>
      </w:r>
    </w:p>
    <w:p>
      <w:pPr>
        <w:pStyle w:val="BodyText"/>
      </w:pPr>
    </w:p>
    <w:p>
      <w:pPr>
        <w:pStyle w:val="BodyText"/>
        <w:ind w:left="305" w:right="275"/>
        <w:jc w:val="both"/>
      </w:pPr>
      <w:r>
        <w:rPr/>
        <w:t>QUART.- Publicar el present conveni al Registre de Convenis de col.laboració i cooperació del Portal de transparència d´aquest Ajuntament.</w:t>
      </w:r>
    </w:p>
    <w:p>
      <w:pPr>
        <w:pStyle w:val="BodyText"/>
        <w:spacing w:before="11"/>
        <w:rPr>
          <w:sz w:val="21"/>
        </w:rPr>
      </w:pPr>
    </w:p>
    <w:p>
      <w:pPr>
        <w:pStyle w:val="BodyText"/>
        <w:ind w:left="305" w:right="275"/>
        <w:jc w:val="both"/>
      </w:pPr>
      <w:r>
        <w:rPr/>
        <w:t>CINQUÈ.- Notificar l’adopció d’aquest acord al Consell Comarcal del Ripollès i a l´àrea comptable d´aquest Ajuntament, als efectes oportuns.</w:t>
      </w:r>
    </w:p>
    <w:p>
      <w:pPr>
        <w:spacing w:after="0"/>
        <w:jc w:val="both"/>
        <w:sectPr>
          <w:headerReference w:type="default" r:id="rId25"/>
          <w:footerReference w:type="default" r:id="rId26"/>
          <w:pgSz w:w="11910" w:h="16840"/>
          <w:pgMar w:header="766" w:footer="0"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1480"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5"/>
        <w:rPr>
          <w:sz w:val="19"/>
        </w:rPr>
      </w:pPr>
    </w:p>
    <w:p>
      <w:pPr>
        <w:pStyle w:val="Heading1"/>
        <w:spacing w:before="94"/>
        <w:ind w:right="275"/>
      </w:pPr>
      <w:r>
        <w:rPr/>
        <w:t>8.- APROVACIÓ MODIFICACIÓ DE PRESSUPOST AJUNTAMENT NÚMERO 5/2018 MITJANÇANT CRÈDITS EXTRAORDINARIS</w:t>
      </w:r>
    </w:p>
    <w:p>
      <w:pPr>
        <w:pStyle w:val="BodyText"/>
        <w:spacing w:before="1"/>
        <w:rPr>
          <w:b/>
        </w:rPr>
      </w:pPr>
    </w:p>
    <w:p>
      <w:pPr>
        <w:pStyle w:val="BodyText"/>
        <w:ind w:left="6500" w:right="269" w:firstLine="1541"/>
        <w:jc w:val="both"/>
      </w:pPr>
      <w:r>
        <w:rPr/>
        <w:t>Òrgan: Ple Caràcter: Sessió Ordinària Data: 20 de juliol de 2018</w:t>
      </w:r>
    </w:p>
    <w:p>
      <w:pPr>
        <w:pStyle w:val="BodyText"/>
        <w:spacing w:line="252" w:lineRule="exact"/>
        <w:ind w:left="4064"/>
      </w:pPr>
      <w:r>
        <w:rPr/>
        <w:t>Expedient núm. 1627-000005-2018 (X2018000776)</w:t>
      </w:r>
    </w:p>
    <w:p>
      <w:pPr>
        <w:pStyle w:val="BodyText"/>
        <w:spacing w:before="2"/>
        <w:ind w:left="6879"/>
      </w:pPr>
      <w:r>
        <w:rPr/>
        <w:t>Aprovat per unanimitat</w:t>
      </w:r>
    </w:p>
    <w:p>
      <w:pPr>
        <w:pStyle w:val="BodyText"/>
        <w:rPr>
          <w:sz w:val="24"/>
        </w:rPr>
      </w:pPr>
    </w:p>
    <w:p>
      <w:pPr>
        <w:pStyle w:val="BodyText"/>
        <w:rPr>
          <w:sz w:val="20"/>
        </w:rPr>
      </w:pPr>
    </w:p>
    <w:p>
      <w:pPr>
        <w:pStyle w:val="BodyText"/>
        <w:ind w:left="305" w:right="274"/>
        <w:jc w:val="both"/>
      </w:pPr>
      <w:r>
        <w:rPr/>
        <w:t>Mitjançant Decret de l’Alcaldia de data 28 de juny de 2018 s’inicia l’expedient per a l’aprovació de la modificació de crèdit mitjançant crèdits extraordinaris número 5/2018.</w:t>
      </w:r>
    </w:p>
    <w:p>
      <w:pPr>
        <w:pStyle w:val="BodyText"/>
        <w:spacing w:before="11"/>
        <w:rPr>
          <w:sz w:val="21"/>
        </w:rPr>
      </w:pPr>
    </w:p>
    <w:p>
      <w:pPr>
        <w:pStyle w:val="BodyText"/>
        <w:ind w:left="305" w:right="274"/>
        <w:jc w:val="both"/>
      </w:pPr>
      <w:r>
        <w:rPr/>
        <w:t>Per poder atendre el pagament de les obligacions que es detallen a continuació, per a les quals no hi ha en el pressupost ordinari actual consignació pressupostària, s’ha de tramitar l’expedient de crèdits extraordinaris que cal finançat mitjançant baixa de partides de despesa que poden minorar-se, amb subjecció a les disposicions vigents.</w:t>
      </w:r>
    </w:p>
    <w:p>
      <w:pPr>
        <w:pStyle w:val="BodyText"/>
      </w:pPr>
    </w:p>
    <w:p>
      <w:pPr>
        <w:pStyle w:val="BodyText"/>
        <w:ind w:left="305"/>
      </w:pPr>
      <w:r>
        <w:rPr/>
        <w:pict>
          <v:group style="position:absolute;margin-left:97.584pt;margin-top:29.877863pt;width:429.1pt;height:108.9pt;mso-position-horizontal-relative:page;mso-position-vertical-relative:paragraph;z-index:-53152" coordorigin="1952,598" coordsize="8582,2178">
            <v:shape style="position:absolute;left:1985;top:614;width:2742;height:507" coordorigin="1985,614" coordsize="2742,507" path="m4726,614l1985,614,1985,866,1985,1121,4726,1121,4726,866,4726,614e" filled="true" fillcolor="#dfdfdf" stroked="false">
              <v:path arrowok="t"/>
              <v:fill type="solid"/>
            </v:shape>
            <v:line style="position:absolute" from="1966,605" to="4743,605" stroked="true" strokeweight=".72pt" strokecolor="#000000">
              <v:stroke dashstyle="solid"/>
            </v:line>
            <v:line style="position:absolute" from="1966,613" to="4743,613" stroked="true" strokeweight=".12pt" strokecolor="#dfdfdf">
              <v:stroke dashstyle="solid"/>
            </v:line>
            <v:line style="position:absolute" from="1959,598" to="1959,1150" stroked="true" strokeweight=".72pt" strokecolor="#000000">
              <v:stroke dashstyle="solid"/>
            </v:line>
            <v:shape style="position:absolute;left:4849;top:614;width:2775;height:507" coordorigin="4849,614" coordsize="2775,507" path="m7624,866l7607,866,7607,614,4866,614,4866,866,4849,866,4849,1121,7624,1121,7624,866e" filled="true" fillcolor="#dfdfdf" stroked="false">
              <v:path arrowok="t"/>
              <v:fill type="solid"/>
            </v:shape>
            <v:line style="position:absolute" from="4847,605" to="7624,605" stroked="true" strokeweight=".72pt" strokecolor="#000000">
              <v:stroke dashstyle="solid"/>
            </v:line>
            <v:line style="position:absolute" from="4847,613" to="7624,613" stroked="true" strokeweight=".12pt" strokecolor="#dfdfdf">
              <v:stroke dashstyle="solid"/>
            </v:line>
            <v:line style="position:absolute" from="4839,598" to="4839,1150" stroked="true" strokeweight=".72pt" strokecolor="#000000">
              <v:stroke dashstyle="solid"/>
            </v:line>
            <v:line style="position:absolute" from="4758,598" to="4758,1150" stroked="true" strokeweight="1.44pt" strokecolor="#000000">
              <v:stroke dashstyle="solid"/>
            </v:line>
            <v:shape style="position:absolute;left:7729;top:614;width:2778;height:507" coordorigin="7729,614" coordsize="2778,507" path="m10507,866l10487,866,10487,614,7746,614,7746,866,7729,866,7729,1121,10507,1121,10507,866e" filled="true" fillcolor="#dfdfdf" stroked="false">
              <v:path arrowok="t"/>
              <v:fill type="solid"/>
            </v:shape>
            <v:line style="position:absolute" from="7727,605" to="10504,605" stroked="true" strokeweight=".72pt" strokecolor="#000000">
              <v:stroke dashstyle="solid"/>
            </v:line>
            <v:line style="position:absolute" from="7727,613" to="10504,613" stroked="true" strokeweight=".12pt" strokecolor="#dfdfdf">
              <v:stroke dashstyle="solid"/>
            </v:line>
            <v:line style="position:absolute" from="7720,598" to="7720,1150" stroked="true" strokeweight=".72pt" strokecolor="#000000">
              <v:stroke dashstyle="solid"/>
            </v:line>
            <v:line style="position:absolute" from="7638,598" to="7638,1150" stroked="true" strokeweight="1.44pt" strokecolor="#000000">
              <v:stroke dashstyle="solid"/>
            </v:line>
            <v:line style="position:absolute" from="10519,598" to="10519,1150" stroked="true" strokeweight="1.44pt" strokecolor="#000000">
              <v:stroke dashstyle="solid"/>
            </v:line>
            <v:line style="position:absolute" from="1966,1136" to="4743,1136" stroked="true" strokeweight="1.44pt" strokecolor="#000000">
              <v:stroke dashstyle="solid"/>
            </v:line>
            <v:line style="position:absolute" from="1966,1217" to="4743,1217" stroked="true" strokeweight=".72pt" strokecolor="#000000">
              <v:stroke dashstyle="solid"/>
            </v:line>
            <v:rect style="position:absolute;left:4846;top:1121;width:2778;height:29" filled="true" fillcolor="#000000" stroked="false">
              <v:fill type="solid"/>
            </v:rect>
            <v:line style="position:absolute" from="4847,1217" to="7624,1217" stroked="true" strokeweight=".72pt" strokecolor="#000000">
              <v:stroke dashstyle="solid"/>
            </v:line>
            <v:rect style="position:absolute;left:7727;top:1121;width:2778;height:29" filled="true" fillcolor="#000000" stroked="false">
              <v:fill type="solid"/>
            </v:rect>
            <v:line style="position:absolute" from="7727,1217" to="10504,1217" stroked="true" strokeweight=".72pt" strokecolor="#000000">
              <v:stroke dashstyle="solid"/>
            </v:line>
            <v:line style="position:absolute" from="1959,1210" to="1959,2775" stroked="true" strokeweight=".72pt" strokecolor="#000000">
              <v:stroke dashstyle="solid"/>
            </v:line>
            <v:line style="position:absolute" from="1966,2760" to="4743,2760" stroked="true" strokeweight="1.44pt" strokecolor="#000000">
              <v:stroke dashstyle="solid"/>
            </v:line>
            <v:line style="position:absolute" from="4839,1210" to="4839,2775" stroked="true" strokeweight=".72pt" strokecolor="#000000">
              <v:stroke dashstyle="solid"/>
            </v:line>
            <v:line style="position:absolute" from="4758,1210" to="4758,2775" stroked="true" strokeweight="1.44pt" strokecolor="#000000">
              <v:stroke dashstyle="solid"/>
            </v:line>
            <v:line style="position:absolute" from="4847,2760" to="7624,2760" stroked="true" strokeweight="1.44pt" strokecolor="#000000">
              <v:stroke dashstyle="solid"/>
            </v:line>
            <v:line style="position:absolute" from="7720,1210" to="7720,2775" stroked="true" strokeweight=".72pt" strokecolor="#000000">
              <v:stroke dashstyle="solid"/>
            </v:line>
            <v:line style="position:absolute" from="7638,1210" to="7638,2775" stroked="true" strokeweight="1.44pt" strokecolor="#000000">
              <v:stroke dashstyle="solid"/>
            </v:line>
            <v:line style="position:absolute" from="7727,2760" to="10504,2760" stroked="true" strokeweight="1.44pt" strokecolor="#000000">
              <v:stroke dashstyle="solid"/>
            </v:line>
            <v:line style="position:absolute" from="10519,1210" to="10519,2775" stroked="true" strokeweight="1.44pt" strokecolor="#000000">
              <v:stroke dashstyle="solid"/>
            </v:line>
            <w10:wrap type="none"/>
          </v:group>
        </w:pict>
      </w:r>
      <w:r>
        <w:rPr/>
        <w:t>Increment en partides de despeses:</w:t>
      </w:r>
    </w:p>
    <w:p>
      <w:pPr>
        <w:pStyle w:val="BodyText"/>
        <w:spacing w:before="2" w:after="1"/>
      </w:pPr>
    </w:p>
    <w:tbl>
      <w:tblPr>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1"/>
        <w:gridCol w:w="82"/>
        <w:gridCol w:w="2799"/>
        <w:gridCol w:w="82"/>
        <w:gridCol w:w="2881"/>
      </w:tblGrid>
      <w:tr>
        <w:trPr>
          <w:trHeight w:val="329" w:hRule="atLeast"/>
        </w:trPr>
        <w:tc>
          <w:tcPr>
            <w:tcW w:w="2881" w:type="dxa"/>
            <w:tcBorders>
              <w:top w:val="single" w:sz="12" w:space="0" w:color="000000"/>
              <w:left w:val="single" w:sz="12" w:space="0" w:color="000000"/>
            </w:tcBorders>
          </w:tcPr>
          <w:p>
            <w:pPr>
              <w:pStyle w:val="TableParagraph"/>
              <w:spacing w:line="240" w:lineRule="auto"/>
              <w:ind w:left="0"/>
              <w:rPr>
                <w:rFonts w:ascii="Times New Roman"/>
                <w:sz w:val="20"/>
              </w:rPr>
            </w:pPr>
          </w:p>
        </w:tc>
        <w:tc>
          <w:tcPr>
            <w:tcW w:w="82" w:type="dxa"/>
            <w:tcBorders>
              <w:top w:val="single" w:sz="12" w:space="0" w:color="000000"/>
            </w:tcBorders>
          </w:tcPr>
          <w:p>
            <w:pPr>
              <w:pStyle w:val="TableParagraph"/>
              <w:spacing w:line="240" w:lineRule="auto"/>
              <w:ind w:left="0"/>
              <w:rPr>
                <w:rFonts w:ascii="Times New Roman"/>
                <w:sz w:val="20"/>
              </w:rPr>
            </w:pPr>
          </w:p>
        </w:tc>
        <w:tc>
          <w:tcPr>
            <w:tcW w:w="2799" w:type="dxa"/>
            <w:tcBorders>
              <w:top w:val="single" w:sz="12" w:space="0" w:color="000000"/>
            </w:tcBorders>
          </w:tcPr>
          <w:p>
            <w:pPr>
              <w:pStyle w:val="TableParagraph"/>
              <w:spacing w:line="236" w:lineRule="exact" w:before="74"/>
              <w:ind w:left="39"/>
              <w:rPr>
                <w:sz w:val="22"/>
              </w:rPr>
            </w:pPr>
            <w:r>
              <w:rPr>
                <w:sz w:val="22"/>
              </w:rPr>
              <w:t>Nom</w:t>
            </w:r>
          </w:p>
        </w:tc>
        <w:tc>
          <w:tcPr>
            <w:tcW w:w="82" w:type="dxa"/>
            <w:tcBorders>
              <w:top w:val="single" w:sz="12" w:space="0" w:color="000000"/>
            </w:tcBorders>
          </w:tcPr>
          <w:p>
            <w:pPr>
              <w:pStyle w:val="TableParagraph"/>
              <w:spacing w:line="240" w:lineRule="auto"/>
              <w:ind w:left="0"/>
              <w:rPr>
                <w:rFonts w:ascii="Times New Roman"/>
                <w:sz w:val="20"/>
              </w:rPr>
            </w:pPr>
          </w:p>
        </w:tc>
        <w:tc>
          <w:tcPr>
            <w:tcW w:w="2881" w:type="dxa"/>
            <w:tcBorders>
              <w:top w:val="single" w:sz="12" w:space="0" w:color="000000"/>
              <w:right w:val="single" w:sz="6" w:space="0" w:color="000000"/>
            </w:tcBorders>
          </w:tcPr>
          <w:p>
            <w:pPr>
              <w:pStyle w:val="TableParagraph"/>
              <w:spacing w:line="236" w:lineRule="exact" w:before="74"/>
              <w:ind w:left="39"/>
              <w:rPr>
                <w:sz w:val="22"/>
              </w:rPr>
            </w:pPr>
            <w:r>
              <w:rPr>
                <w:sz w:val="22"/>
              </w:rPr>
              <w:t>Proposta de Consignació</w:t>
            </w:r>
          </w:p>
        </w:tc>
      </w:tr>
      <w:tr>
        <w:trPr>
          <w:trHeight w:val="304" w:hRule="atLeast"/>
        </w:trPr>
        <w:tc>
          <w:tcPr>
            <w:tcW w:w="2881" w:type="dxa"/>
            <w:tcBorders>
              <w:left w:val="single" w:sz="12" w:space="0" w:color="000000"/>
            </w:tcBorders>
            <w:shd w:val="clear" w:color="auto" w:fill="DFDFDF"/>
          </w:tcPr>
          <w:p>
            <w:pPr>
              <w:pStyle w:val="TableParagraph"/>
              <w:spacing w:line="249" w:lineRule="exact"/>
              <w:rPr>
                <w:sz w:val="22"/>
              </w:rPr>
            </w:pPr>
            <w:r>
              <w:rPr>
                <w:sz w:val="22"/>
              </w:rPr>
              <w:t>Partida</w:t>
            </w:r>
          </w:p>
        </w:tc>
        <w:tc>
          <w:tcPr>
            <w:tcW w:w="82" w:type="dxa"/>
          </w:tcPr>
          <w:p>
            <w:pPr>
              <w:pStyle w:val="TableParagraph"/>
              <w:spacing w:line="240" w:lineRule="auto"/>
              <w:ind w:left="0"/>
              <w:rPr>
                <w:rFonts w:ascii="Times New Roman"/>
                <w:sz w:val="20"/>
              </w:rPr>
            </w:pPr>
          </w:p>
        </w:tc>
        <w:tc>
          <w:tcPr>
            <w:tcW w:w="2799" w:type="dxa"/>
            <w:shd w:val="clear" w:color="auto" w:fill="DFDFDF"/>
          </w:tcPr>
          <w:p>
            <w:pPr>
              <w:pStyle w:val="TableParagraph"/>
              <w:spacing w:line="240" w:lineRule="auto"/>
              <w:ind w:left="0"/>
              <w:rPr>
                <w:rFonts w:ascii="Times New Roman"/>
                <w:sz w:val="20"/>
              </w:rPr>
            </w:pPr>
          </w:p>
        </w:tc>
        <w:tc>
          <w:tcPr>
            <w:tcW w:w="82" w:type="dxa"/>
          </w:tcPr>
          <w:p>
            <w:pPr>
              <w:pStyle w:val="TableParagraph"/>
              <w:spacing w:line="240" w:lineRule="auto"/>
              <w:ind w:left="0"/>
              <w:rPr>
                <w:rFonts w:ascii="Times New Roman"/>
                <w:sz w:val="20"/>
              </w:rPr>
            </w:pPr>
          </w:p>
        </w:tc>
        <w:tc>
          <w:tcPr>
            <w:tcW w:w="2881" w:type="dxa"/>
            <w:tcBorders>
              <w:right w:val="single" w:sz="6" w:space="0" w:color="000000"/>
            </w:tcBorders>
            <w:shd w:val="clear" w:color="auto" w:fill="DFDFDF"/>
          </w:tcPr>
          <w:p>
            <w:pPr>
              <w:pStyle w:val="TableParagraph"/>
              <w:spacing w:line="240" w:lineRule="auto"/>
              <w:ind w:left="0"/>
              <w:rPr>
                <w:rFonts w:ascii="Times New Roman"/>
                <w:sz w:val="20"/>
              </w:rPr>
            </w:pPr>
          </w:p>
        </w:tc>
      </w:tr>
      <w:tr>
        <w:trPr>
          <w:trHeight w:val="1661" w:hRule="atLeast"/>
        </w:trPr>
        <w:tc>
          <w:tcPr>
            <w:tcW w:w="2881" w:type="dxa"/>
            <w:tcBorders>
              <w:left w:val="single" w:sz="12" w:space="0" w:color="000000"/>
              <w:bottom w:val="single" w:sz="6" w:space="0" w:color="000000"/>
            </w:tcBorders>
          </w:tcPr>
          <w:p>
            <w:pPr>
              <w:pStyle w:val="TableParagraph"/>
              <w:spacing w:line="240" w:lineRule="auto" w:before="4"/>
              <w:ind w:left="0"/>
              <w:rPr>
                <w:sz w:val="26"/>
              </w:rPr>
            </w:pPr>
          </w:p>
          <w:p>
            <w:pPr>
              <w:pStyle w:val="TableParagraph"/>
              <w:spacing w:line="240" w:lineRule="auto"/>
              <w:rPr>
                <w:sz w:val="22"/>
              </w:rPr>
            </w:pPr>
            <w:r>
              <w:rPr>
                <w:sz w:val="22"/>
              </w:rPr>
              <w:t>01.170.46105</w:t>
            </w:r>
          </w:p>
        </w:tc>
        <w:tc>
          <w:tcPr>
            <w:tcW w:w="82" w:type="dxa"/>
            <w:tcBorders>
              <w:bottom w:val="single" w:sz="6" w:space="0" w:color="000000"/>
            </w:tcBorders>
          </w:tcPr>
          <w:p>
            <w:pPr>
              <w:pStyle w:val="TableParagraph"/>
              <w:spacing w:line="240" w:lineRule="auto"/>
              <w:ind w:left="0"/>
              <w:rPr>
                <w:rFonts w:ascii="Times New Roman"/>
                <w:sz w:val="20"/>
              </w:rPr>
            </w:pPr>
          </w:p>
        </w:tc>
        <w:tc>
          <w:tcPr>
            <w:tcW w:w="2799" w:type="dxa"/>
            <w:tcBorders>
              <w:bottom w:val="single" w:sz="6" w:space="0" w:color="000000"/>
            </w:tcBorders>
          </w:tcPr>
          <w:p>
            <w:pPr>
              <w:pStyle w:val="TableParagraph"/>
              <w:spacing w:line="240" w:lineRule="auto" w:before="4"/>
              <w:ind w:left="0"/>
              <w:rPr>
                <w:sz w:val="26"/>
              </w:rPr>
            </w:pPr>
          </w:p>
          <w:p>
            <w:pPr>
              <w:pStyle w:val="TableParagraph"/>
              <w:tabs>
                <w:tab w:pos="1016" w:val="left" w:leader="none"/>
                <w:tab w:pos="2484" w:val="left" w:leader="none"/>
              </w:tabs>
              <w:spacing w:line="240" w:lineRule="auto"/>
              <w:ind w:left="39" w:right="15"/>
              <w:jc w:val="both"/>
              <w:rPr>
                <w:sz w:val="22"/>
              </w:rPr>
            </w:pPr>
            <w:r>
              <w:rPr>
                <w:sz w:val="22"/>
              </w:rPr>
              <w:t>Aportació Consell Comarcal del</w:t>
              <w:tab/>
              <w:t>Ripollès</w:t>
              <w:tab/>
              <w:t>pel manteniment depuradora de Cal</w:t>
            </w:r>
            <w:r>
              <w:rPr>
                <w:spacing w:val="-2"/>
                <w:sz w:val="22"/>
              </w:rPr>
              <w:t> </w:t>
            </w:r>
            <w:r>
              <w:rPr>
                <w:sz w:val="22"/>
              </w:rPr>
              <w:t>Gat</w:t>
            </w:r>
          </w:p>
        </w:tc>
        <w:tc>
          <w:tcPr>
            <w:tcW w:w="82" w:type="dxa"/>
            <w:tcBorders>
              <w:bottom w:val="single" w:sz="6" w:space="0" w:color="000000"/>
            </w:tcBorders>
          </w:tcPr>
          <w:p>
            <w:pPr>
              <w:pStyle w:val="TableParagraph"/>
              <w:spacing w:line="240" w:lineRule="auto"/>
              <w:ind w:left="0"/>
              <w:rPr>
                <w:rFonts w:ascii="Times New Roman"/>
                <w:sz w:val="20"/>
              </w:rPr>
            </w:pPr>
          </w:p>
        </w:tc>
        <w:tc>
          <w:tcPr>
            <w:tcW w:w="2881" w:type="dxa"/>
            <w:tcBorders>
              <w:bottom w:val="single" w:sz="6" w:space="0" w:color="000000"/>
              <w:right w:val="single" w:sz="6" w:space="0" w:color="000000"/>
            </w:tcBorders>
          </w:tcPr>
          <w:p>
            <w:pPr>
              <w:pStyle w:val="TableParagraph"/>
              <w:spacing w:line="240" w:lineRule="auto" w:before="4"/>
              <w:ind w:left="0"/>
              <w:rPr>
                <w:sz w:val="26"/>
              </w:rPr>
            </w:pPr>
          </w:p>
          <w:p>
            <w:pPr>
              <w:pStyle w:val="TableParagraph"/>
              <w:spacing w:line="240" w:lineRule="auto"/>
              <w:ind w:left="39"/>
              <w:rPr>
                <w:sz w:val="22"/>
              </w:rPr>
            </w:pPr>
            <w:r>
              <w:rPr>
                <w:sz w:val="22"/>
              </w:rPr>
              <w:t>1.893,08 €</w:t>
            </w:r>
          </w:p>
        </w:tc>
      </w:tr>
    </w:tbl>
    <w:p>
      <w:pPr>
        <w:pStyle w:val="BodyText"/>
        <w:spacing w:before="2"/>
        <w:rPr>
          <w:sz w:val="17"/>
        </w:rPr>
      </w:pPr>
      <w:r>
        <w:rPr/>
        <w:pict>
          <v:group style="position:absolute;margin-left:93.143997pt;margin-top:12.6pt;width:437.25pt;height:23.2pt;mso-position-horizontal-relative:page;mso-position-vertical-relative:paragraph;z-index:1360;mso-wrap-distance-left:0;mso-wrap-distance-right:0" coordorigin="1863,252" coordsize="8745,464">
            <v:rect style="position:absolute;left:1862;top:252;width:104;height:29" filled="true" fillcolor="#000000" stroked="false">
              <v:fill type="solid"/>
            </v:rect>
            <v:line style="position:absolute" from="1966,266" to="6236,266" stroked="true" strokeweight="1.44pt" strokecolor="#000000">
              <v:stroke dashstyle="solid"/>
            </v:line>
            <v:rect style="position:absolute;left:6236;top:252;width:104;height:29" filled="true" fillcolor="#000000" stroked="false">
              <v:fill type="solid"/>
            </v:rect>
            <v:line style="position:absolute" from="6340,266" to="10504,266" stroked="true" strokeweight="1.44pt" strokecolor="#000000">
              <v:stroke dashstyle="solid"/>
            </v:line>
            <v:rect style="position:absolute;left:10504;top:252;width:104;height:29" filled="true" fillcolor="#000000" stroked="false">
              <v:fill type="solid"/>
            </v:rect>
            <v:line style="position:absolute" from="1877,252" to="1877,715" stroked="true" strokeweight="1.44pt" strokecolor="#000000">
              <v:stroke dashstyle="solid"/>
            </v:line>
            <v:rect style="position:absolute;left:1862;top:686;width:104;height:29" filled="true" fillcolor="#000000" stroked="false">
              <v:fill type="solid"/>
            </v:rect>
            <v:line style="position:absolute" from="1966,701" to="6236,701" stroked="true" strokeweight="1.44pt" strokecolor="#000000">
              <v:stroke dashstyle="solid"/>
            </v:line>
            <v:rect style="position:absolute;left:6221;top:686;width:104;height:29" filled="true" fillcolor="#000000" stroked="false">
              <v:fill type="solid"/>
            </v:rect>
            <v:line style="position:absolute" from="6325,701" to="10504,701" stroked="true" strokeweight="1.44pt" strokecolor="#000000">
              <v:stroke dashstyle="solid"/>
            </v:line>
            <v:line style="position:absolute" from="10593,252" to="10593,715" stroked="true" strokeweight="1.44pt" strokecolor="#000000">
              <v:stroke dashstyle="solid"/>
            </v:line>
            <v:rect style="position:absolute;left:10504;top:686;width:104;height:29" filled="true" fillcolor="#000000" stroked="false">
              <v:fill type="solid"/>
            </v:rect>
            <v:shape style="position:absolute;left:1958;top:348;width:8553;height:272" type="#_x0000_t202" filled="true" fillcolor="#dfdfdf" stroked="true" strokeweight=".71997pt" strokecolor="#000000">
              <v:textbox inset="0,0,0,0">
                <w:txbxContent>
                  <w:p>
                    <w:pPr>
                      <w:spacing w:before="0"/>
                      <w:ind w:left="19" w:right="0" w:firstLine="0"/>
                      <w:jc w:val="left"/>
                      <w:rPr>
                        <w:sz w:val="22"/>
                      </w:rPr>
                    </w:pPr>
                    <w:r>
                      <w:rPr>
                        <w:sz w:val="22"/>
                      </w:rPr>
                      <w:t>Total altes crèdits : 1.893,08 €</w:t>
                    </w:r>
                  </w:p>
                </w:txbxContent>
              </v:textbox>
              <v:fill type="solid"/>
              <v:stroke dashstyle="solid"/>
              <w10:wrap type="none"/>
            </v:shape>
            <w10:wrap type="topAndBottom"/>
          </v:group>
        </w:pict>
      </w:r>
    </w:p>
    <w:p>
      <w:pPr>
        <w:pStyle w:val="BodyText"/>
        <w:spacing w:before="205"/>
        <w:ind w:left="305"/>
      </w:pPr>
      <w:r>
        <w:rPr/>
        <w:t>Partides de despeses que es disminueixen:</w:t>
      </w:r>
    </w:p>
    <w:p>
      <w:pPr>
        <w:pStyle w:val="BodyText"/>
        <w:spacing w:before="4"/>
      </w:pPr>
    </w:p>
    <w:tbl>
      <w:tblPr>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28"/>
        <w:gridCol w:w="82"/>
        <w:gridCol w:w="2656"/>
        <w:gridCol w:w="82"/>
        <w:gridCol w:w="2694"/>
      </w:tblGrid>
      <w:tr>
        <w:trPr>
          <w:trHeight w:val="329" w:hRule="atLeast"/>
        </w:trPr>
        <w:tc>
          <w:tcPr>
            <w:tcW w:w="1728" w:type="dxa"/>
            <w:tcBorders>
              <w:top w:val="single" w:sz="12" w:space="0" w:color="000000"/>
              <w:left w:val="single" w:sz="12" w:space="0" w:color="000000"/>
            </w:tcBorders>
          </w:tcPr>
          <w:p>
            <w:pPr>
              <w:pStyle w:val="TableParagraph"/>
              <w:spacing w:line="240" w:lineRule="auto"/>
              <w:ind w:left="0"/>
              <w:rPr>
                <w:rFonts w:ascii="Times New Roman"/>
                <w:sz w:val="20"/>
              </w:rPr>
            </w:pPr>
          </w:p>
        </w:tc>
        <w:tc>
          <w:tcPr>
            <w:tcW w:w="82" w:type="dxa"/>
            <w:tcBorders>
              <w:top w:val="single" w:sz="12" w:space="0" w:color="000000"/>
            </w:tcBorders>
          </w:tcPr>
          <w:p>
            <w:pPr>
              <w:pStyle w:val="TableParagraph"/>
              <w:spacing w:line="240" w:lineRule="auto"/>
              <w:ind w:left="0"/>
              <w:rPr>
                <w:rFonts w:ascii="Times New Roman"/>
                <w:sz w:val="20"/>
              </w:rPr>
            </w:pPr>
          </w:p>
        </w:tc>
        <w:tc>
          <w:tcPr>
            <w:tcW w:w="2656" w:type="dxa"/>
            <w:tcBorders>
              <w:top w:val="single" w:sz="12" w:space="0" w:color="000000"/>
            </w:tcBorders>
          </w:tcPr>
          <w:p>
            <w:pPr>
              <w:pStyle w:val="TableParagraph"/>
              <w:spacing w:line="236" w:lineRule="exact" w:before="74"/>
              <w:ind w:left="40"/>
              <w:rPr>
                <w:sz w:val="22"/>
              </w:rPr>
            </w:pPr>
            <w:r>
              <w:rPr>
                <w:sz w:val="22"/>
              </w:rPr>
              <w:t>Nom</w:t>
            </w:r>
          </w:p>
        </w:tc>
        <w:tc>
          <w:tcPr>
            <w:tcW w:w="82" w:type="dxa"/>
            <w:tcBorders>
              <w:top w:val="single" w:sz="12" w:space="0" w:color="000000"/>
            </w:tcBorders>
          </w:tcPr>
          <w:p>
            <w:pPr>
              <w:pStyle w:val="TableParagraph"/>
              <w:spacing w:line="240" w:lineRule="auto"/>
              <w:ind w:left="0"/>
              <w:rPr>
                <w:rFonts w:ascii="Times New Roman"/>
                <w:sz w:val="20"/>
              </w:rPr>
            </w:pPr>
          </w:p>
        </w:tc>
        <w:tc>
          <w:tcPr>
            <w:tcW w:w="2694" w:type="dxa"/>
            <w:tcBorders>
              <w:top w:val="single" w:sz="12" w:space="0" w:color="000000"/>
              <w:right w:val="single" w:sz="6" w:space="0" w:color="000000"/>
            </w:tcBorders>
          </w:tcPr>
          <w:p>
            <w:pPr>
              <w:pStyle w:val="TableParagraph"/>
              <w:spacing w:line="236" w:lineRule="exact" w:before="74"/>
              <w:ind w:left="41"/>
              <w:rPr>
                <w:sz w:val="22"/>
              </w:rPr>
            </w:pPr>
            <w:r>
              <w:rPr>
                <w:sz w:val="22"/>
              </w:rPr>
              <w:t>Proposta de Consignació</w:t>
            </w:r>
          </w:p>
        </w:tc>
      </w:tr>
      <w:tr>
        <w:trPr>
          <w:trHeight w:val="304" w:hRule="atLeast"/>
        </w:trPr>
        <w:tc>
          <w:tcPr>
            <w:tcW w:w="1728" w:type="dxa"/>
            <w:tcBorders>
              <w:left w:val="single" w:sz="12" w:space="0" w:color="000000"/>
            </w:tcBorders>
            <w:shd w:val="clear" w:color="auto" w:fill="DFDFDF"/>
          </w:tcPr>
          <w:p>
            <w:pPr>
              <w:pStyle w:val="TableParagraph"/>
              <w:spacing w:line="249" w:lineRule="exact"/>
              <w:rPr>
                <w:sz w:val="22"/>
              </w:rPr>
            </w:pPr>
            <w:r>
              <w:rPr>
                <w:sz w:val="22"/>
              </w:rPr>
              <w:t>Partida</w:t>
            </w:r>
          </w:p>
        </w:tc>
        <w:tc>
          <w:tcPr>
            <w:tcW w:w="82" w:type="dxa"/>
          </w:tcPr>
          <w:p>
            <w:pPr>
              <w:pStyle w:val="TableParagraph"/>
              <w:spacing w:line="240" w:lineRule="auto"/>
              <w:ind w:left="0"/>
              <w:rPr>
                <w:rFonts w:ascii="Times New Roman"/>
                <w:sz w:val="20"/>
              </w:rPr>
            </w:pPr>
          </w:p>
        </w:tc>
        <w:tc>
          <w:tcPr>
            <w:tcW w:w="2656" w:type="dxa"/>
            <w:shd w:val="clear" w:color="auto" w:fill="DFDFDF"/>
          </w:tcPr>
          <w:p>
            <w:pPr>
              <w:pStyle w:val="TableParagraph"/>
              <w:spacing w:line="240" w:lineRule="auto"/>
              <w:ind w:left="0"/>
              <w:rPr>
                <w:rFonts w:ascii="Times New Roman"/>
                <w:sz w:val="20"/>
              </w:rPr>
            </w:pPr>
          </w:p>
        </w:tc>
        <w:tc>
          <w:tcPr>
            <w:tcW w:w="82" w:type="dxa"/>
          </w:tcPr>
          <w:p>
            <w:pPr>
              <w:pStyle w:val="TableParagraph"/>
              <w:spacing w:line="240" w:lineRule="auto"/>
              <w:ind w:left="0"/>
              <w:rPr>
                <w:rFonts w:ascii="Times New Roman"/>
                <w:sz w:val="20"/>
              </w:rPr>
            </w:pPr>
          </w:p>
        </w:tc>
        <w:tc>
          <w:tcPr>
            <w:tcW w:w="2694" w:type="dxa"/>
            <w:tcBorders>
              <w:right w:val="single" w:sz="6" w:space="0" w:color="000000"/>
            </w:tcBorders>
            <w:shd w:val="clear" w:color="auto" w:fill="DFDFDF"/>
          </w:tcPr>
          <w:p>
            <w:pPr>
              <w:pStyle w:val="TableParagraph"/>
              <w:spacing w:line="240" w:lineRule="auto"/>
              <w:ind w:left="0"/>
              <w:rPr>
                <w:rFonts w:ascii="Times New Roman"/>
                <w:sz w:val="20"/>
              </w:rPr>
            </w:pPr>
          </w:p>
        </w:tc>
      </w:tr>
      <w:tr>
        <w:trPr>
          <w:trHeight w:val="900" w:hRule="atLeast"/>
        </w:trPr>
        <w:tc>
          <w:tcPr>
            <w:tcW w:w="1728" w:type="dxa"/>
            <w:tcBorders>
              <w:left w:val="single" w:sz="12" w:space="0" w:color="000000"/>
              <w:bottom w:val="single" w:sz="6" w:space="0" w:color="000000"/>
            </w:tcBorders>
          </w:tcPr>
          <w:p>
            <w:pPr>
              <w:pStyle w:val="TableParagraph"/>
              <w:spacing w:line="240" w:lineRule="auto" w:before="49"/>
              <w:rPr>
                <w:sz w:val="22"/>
              </w:rPr>
            </w:pPr>
            <w:r>
              <w:rPr>
                <w:sz w:val="22"/>
              </w:rPr>
              <w:t>01.241.46102</w:t>
            </w:r>
          </w:p>
        </w:tc>
        <w:tc>
          <w:tcPr>
            <w:tcW w:w="82" w:type="dxa"/>
            <w:tcBorders>
              <w:bottom w:val="single" w:sz="6" w:space="0" w:color="000000"/>
            </w:tcBorders>
          </w:tcPr>
          <w:p>
            <w:pPr>
              <w:pStyle w:val="TableParagraph"/>
              <w:spacing w:line="240" w:lineRule="auto"/>
              <w:ind w:left="0"/>
              <w:rPr>
                <w:rFonts w:ascii="Times New Roman"/>
                <w:sz w:val="20"/>
              </w:rPr>
            </w:pPr>
          </w:p>
        </w:tc>
        <w:tc>
          <w:tcPr>
            <w:tcW w:w="2656" w:type="dxa"/>
            <w:tcBorders>
              <w:bottom w:val="single" w:sz="6" w:space="0" w:color="000000"/>
            </w:tcBorders>
          </w:tcPr>
          <w:p>
            <w:pPr>
              <w:pStyle w:val="TableParagraph"/>
              <w:tabs>
                <w:tab w:pos="1904" w:val="left" w:leader="none"/>
              </w:tabs>
              <w:spacing w:line="240" w:lineRule="auto" w:before="49"/>
              <w:ind w:left="40" w:right="16"/>
              <w:jc w:val="both"/>
              <w:rPr>
                <w:sz w:val="22"/>
              </w:rPr>
            </w:pPr>
            <w:r>
              <w:rPr>
                <w:sz w:val="22"/>
              </w:rPr>
              <w:t>Aportació</w:t>
              <w:tab/>
            </w:r>
            <w:r>
              <w:rPr>
                <w:spacing w:val="-1"/>
                <w:sz w:val="22"/>
              </w:rPr>
              <w:t>Consell </w:t>
            </w:r>
            <w:r>
              <w:rPr>
                <w:sz w:val="22"/>
              </w:rPr>
              <w:t>Comarcal del Ripollès Plans Ocupació</w:t>
            </w:r>
          </w:p>
        </w:tc>
        <w:tc>
          <w:tcPr>
            <w:tcW w:w="82" w:type="dxa"/>
            <w:tcBorders>
              <w:bottom w:val="single" w:sz="6" w:space="0" w:color="000000"/>
            </w:tcBorders>
          </w:tcPr>
          <w:p>
            <w:pPr>
              <w:pStyle w:val="TableParagraph"/>
              <w:spacing w:line="240" w:lineRule="auto"/>
              <w:ind w:left="0"/>
              <w:rPr>
                <w:rFonts w:ascii="Times New Roman"/>
                <w:sz w:val="20"/>
              </w:rPr>
            </w:pPr>
          </w:p>
        </w:tc>
        <w:tc>
          <w:tcPr>
            <w:tcW w:w="2694" w:type="dxa"/>
            <w:tcBorders>
              <w:bottom w:val="single" w:sz="6" w:space="0" w:color="000000"/>
              <w:right w:val="single" w:sz="6" w:space="0" w:color="000000"/>
            </w:tcBorders>
          </w:tcPr>
          <w:p>
            <w:pPr>
              <w:pStyle w:val="TableParagraph"/>
              <w:spacing w:line="240" w:lineRule="auto" w:before="49"/>
              <w:ind w:left="41"/>
              <w:rPr>
                <w:sz w:val="22"/>
              </w:rPr>
            </w:pPr>
            <w:r>
              <w:rPr>
                <w:sz w:val="22"/>
              </w:rPr>
              <w:t>1.893,08 €</w:t>
            </w:r>
          </w:p>
        </w:tc>
      </w:tr>
    </w:tbl>
    <w:p>
      <w:pPr>
        <w:pStyle w:val="BodyText"/>
        <w:spacing w:before="4"/>
        <w:rPr>
          <w:sz w:val="17"/>
        </w:rPr>
      </w:pPr>
      <w:r>
        <w:rPr/>
        <w:pict>
          <v:group style="position:absolute;margin-left:93.143997pt;margin-top:12.72pt;width:437.25pt;height:23.2pt;mso-position-horizontal-relative:page;mso-position-vertical-relative:paragraph;z-index:1408;mso-wrap-distance-left:0;mso-wrap-distance-right:0" coordorigin="1863,254" coordsize="8745,464">
            <v:rect style="position:absolute;left:1862;top:254;width:104;height:29" filled="true" fillcolor="#000000" stroked="false">
              <v:fill type="solid"/>
            </v:rect>
            <v:line style="position:absolute" from="1966,269" to="6236,269" stroked="true" strokeweight="1.44pt" strokecolor="#000000">
              <v:stroke dashstyle="solid"/>
            </v:line>
            <v:rect style="position:absolute;left:6236;top:254;width:104;height:29" filled="true" fillcolor="#000000" stroked="false">
              <v:fill type="solid"/>
            </v:rect>
            <v:line style="position:absolute" from="6340,269" to="10504,269" stroked="true" strokeweight="1.44pt" strokecolor="#000000">
              <v:stroke dashstyle="solid"/>
            </v:line>
            <v:rect style="position:absolute;left:10504;top:254;width:104;height:29" filled="true" fillcolor="#000000" stroked="false">
              <v:fill type="solid"/>
            </v:rect>
            <v:line style="position:absolute" from="1877,254" to="1877,718" stroked="true" strokeweight="1.44pt" strokecolor="#000000">
              <v:stroke dashstyle="solid"/>
            </v:line>
            <v:rect style="position:absolute;left:1862;top:688;width:104;height:29" filled="true" fillcolor="#000000" stroked="false">
              <v:fill type="solid"/>
            </v:rect>
            <v:line style="position:absolute" from="1966,703" to="6236,703" stroked="true" strokeweight="1.44pt" strokecolor="#000000">
              <v:stroke dashstyle="solid"/>
            </v:line>
            <v:rect style="position:absolute;left:6221;top:688;width:104;height:29" filled="true" fillcolor="#000000" stroked="false">
              <v:fill type="solid"/>
            </v:rect>
            <v:line style="position:absolute" from="6325,703" to="10504,703" stroked="true" strokeweight="1.44pt" strokecolor="#000000">
              <v:stroke dashstyle="solid"/>
            </v:line>
            <v:line style="position:absolute" from="10593,254" to="10593,718" stroked="true" strokeweight="1.44pt" strokecolor="#000000">
              <v:stroke dashstyle="solid"/>
            </v:line>
            <v:rect style="position:absolute;left:10504;top:688;width:104;height:29" filled="true" fillcolor="#000000" stroked="false">
              <v:fill type="solid"/>
            </v:rect>
            <v:shape style="position:absolute;left:1958;top:350;width:8553;height:272" type="#_x0000_t202" filled="true" fillcolor="#dfdfdf" stroked="true" strokeweight=".71997pt" strokecolor="#000000">
              <v:textbox inset="0,0,0,0">
                <w:txbxContent>
                  <w:p>
                    <w:pPr>
                      <w:spacing w:before="0"/>
                      <w:ind w:left="19" w:right="0" w:firstLine="0"/>
                      <w:jc w:val="left"/>
                      <w:rPr>
                        <w:sz w:val="22"/>
                      </w:rPr>
                    </w:pPr>
                    <w:r>
                      <w:rPr>
                        <w:sz w:val="22"/>
                      </w:rPr>
                      <w:t>Total finançament: 1.893,08 €</w:t>
                    </w:r>
                  </w:p>
                </w:txbxContent>
              </v:textbox>
              <v:fill type="solid"/>
              <v:stroke dashstyle="solid"/>
              <w10:wrap type="none"/>
            </v:shape>
            <w10:wrap type="topAndBottom"/>
          </v:group>
        </w:pict>
      </w:r>
    </w:p>
    <w:p>
      <w:pPr>
        <w:pStyle w:val="BodyText"/>
        <w:spacing w:before="205"/>
        <w:ind w:left="305"/>
      </w:pPr>
      <w:r>
        <w:rPr/>
        <w:t>Atès que la Secretària-Interventora ha emès els corresponents informes favorables.</w:t>
      </w:r>
    </w:p>
    <w:p>
      <w:pPr>
        <w:pStyle w:val="BodyText"/>
        <w:spacing w:before="1"/>
      </w:pPr>
    </w:p>
    <w:p>
      <w:pPr>
        <w:pStyle w:val="BodyText"/>
        <w:ind w:left="305" w:right="275"/>
        <w:jc w:val="both"/>
      </w:pPr>
      <w:r>
        <w:rPr/>
        <w:pict>
          <v:group style="position:absolute;margin-left:97.584pt;margin-top:-148.222168pt;width:354.95pt;height:70.8pt;mso-position-horizontal-relative:page;mso-position-vertical-relative:paragraph;z-index:-53128" coordorigin="1952,-2964" coordsize="7099,1416">
            <v:shape style="position:absolute;left:1968;top:-2948;width:1623;height:507" coordorigin="1968,-2948" coordsize="1623,507" path="m3591,-2948l3574,-2948,1985,-2948,1968,-2948,1968,-2441,1985,-2441,3574,-2441,3591,-2441,3591,-2948e" filled="true" fillcolor="#dfdfdf" stroked="false">
              <v:path arrowok="t"/>
              <v:fill type="solid"/>
            </v:shape>
            <v:line style="position:absolute" from="1966,-2957" to="3591,-2957" stroked="true" strokeweight=".72003pt" strokecolor="#000000">
              <v:stroke dashstyle="solid"/>
            </v:line>
            <v:line style="position:absolute" from="1966,-2949" to="3591,-2949" stroked="true" strokeweight=".12pt" strokecolor="#dfdfdf">
              <v:stroke dashstyle="solid"/>
            </v:line>
            <v:line style="position:absolute" from="1959,-2964" to="1959,-2412" stroked="true" strokeweight=".72pt" strokecolor="#000000">
              <v:stroke dashstyle="solid"/>
            </v:line>
            <v:shape style="position:absolute;left:3696;top:-2948;width:2634;height:507" coordorigin="3696,-2948" coordsize="2634,507" path="m6330,-2696l6311,-2696,6311,-2948,3713,-2948,3713,-2696,3696,-2696,3696,-2441,6330,-2441,6330,-2696e" filled="true" fillcolor="#dfdfdf" stroked="false">
              <v:path arrowok="t"/>
              <v:fill type="solid"/>
            </v:shape>
            <v:line style="position:absolute" from="3694,-2957" to="6328,-2957" stroked="true" strokeweight=".72003pt" strokecolor="#000000">
              <v:stroke dashstyle="solid"/>
            </v:line>
            <v:line style="position:absolute" from="3694,-2949" to="6328,-2949" stroked="true" strokeweight=".12pt" strokecolor="#dfdfdf">
              <v:stroke dashstyle="solid"/>
            </v:line>
            <v:line style="position:absolute" from="3687,-2964" to="3687,-2412" stroked="true" strokeweight=".71999pt" strokecolor="#000000">
              <v:stroke dashstyle="solid"/>
            </v:line>
            <v:line style="position:absolute" from="3605,-2964" to="3605,-2412" stroked="true" strokeweight="1.44pt" strokecolor="#000000">
              <v:stroke dashstyle="solid"/>
            </v:line>
            <v:shape style="position:absolute;left:6433;top:-2948;width:2590;height:507" coordorigin="6433,-2948" coordsize="2590,507" path="m9023,-2696l9004,-2696,9004,-2948,6453,-2948,6453,-2696,6433,-2696,6433,-2441,9023,-2441,9023,-2696e" filled="true" fillcolor="#dfdfdf" stroked="false">
              <v:path arrowok="t"/>
              <v:fill type="solid"/>
            </v:shape>
            <v:line style="position:absolute" from="6431,-2957" to="9021,-2957" stroked="true" strokeweight=".72003pt" strokecolor="#000000">
              <v:stroke dashstyle="solid"/>
            </v:line>
            <v:line style="position:absolute" from="6431,-2949" to="9021,-2949" stroked="true" strokeweight=".12pt" strokecolor="#dfdfdf">
              <v:stroke dashstyle="solid"/>
            </v:line>
            <v:line style="position:absolute" from="6424,-2964" to="6424,-2412" stroked="true" strokeweight=".72pt" strokecolor="#000000">
              <v:stroke dashstyle="solid"/>
            </v:line>
            <v:line style="position:absolute" from="6342,-2964" to="6342,-2412" stroked="true" strokeweight="1.44pt" strokecolor="#000000">
              <v:stroke dashstyle="solid"/>
            </v:line>
            <v:line style="position:absolute" from="9036,-2964" to="9036,-2412" stroked="true" strokeweight="1.44pt" strokecolor="#000000">
              <v:stroke dashstyle="solid"/>
            </v:line>
            <v:rect style="position:absolute;left:1966;top:-2442;width:1625;height:29" filled="true" fillcolor="#000000" stroked="false">
              <v:fill type="solid"/>
            </v:rect>
            <v:line style="position:absolute" from="1966,-2345" to="3591,-2345" stroked="true" strokeweight=".72003pt" strokecolor="#000000">
              <v:stroke dashstyle="solid"/>
            </v:line>
            <v:rect style="position:absolute;left:3694;top:-2442;width:2634;height:29" filled="true" fillcolor="#000000" stroked="false">
              <v:fill type="solid"/>
            </v:rect>
            <v:line style="position:absolute" from="3694,-2345" to="6328,-2345" stroked="true" strokeweight=".72003pt" strokecolor="#000000">
              <v:stroke dashstyle="solid"/>
            </v:line>
            <v:rect style="position:absolute;left:6431;top:-2442;width:2590;height:29" filled="true" fillcolor="#000000" stroked="false">
              <v:fill type="solid"/>
            </v:rect>
            <v:line style="position:absolute" from="6431,-2345" to="9021,-2345" stroked="true" strokeweight=".72003pt" strokecolor="#000000">
              <v:stroke dashstyle="solid"/>
            </v:line>
            <v:line style="position:absolute" from="1959,-2352" to="1959,-1548" stroked="true" strokeweight=".72pt" strokecolor="#000000">
              <v:stroke dashstyle="solid"/>
            </v:line>
            <v:line style="position:absolute" from="1966,-1563" to="3591,-1563" stroked="true" strokeweight="1.44pt" strokecolor="#000000">
              <v:stroke dashstyle="solid"/>
            </v:line>
            <v:line style="position:absolute" from="3687,-2352" to="3687,-1548" stroked="true" strokeweight=".71999pt" strokecolor="#000000">
              <v:stroke dashstyle="solid"/>
            </v:line>
            <v:line style="position:absolute" from="3605,-2352" to="3605,-1548" stroked="true" strokeweight="1.44pt" strokecolor="#000000">
              <v:stroke dashstyle="solid"/>
            </v:line>
            <v:line style="position:absolute" from="3694,-1563" to="6328,-1563" stroked="true" strokeweight="1.44pt" strokecolor="#000000">
              <v:stroke dashstyle="solid"/>
            </v:line>
            <v:line style="position:absolute" from="6424,-2352" to="6424,-1548" stroked="true" strokeweight=".72pt" strokecolor="#000000">
              <v:stroke dashstyle="solid"/>
            </v:line>
            <v:line style="position:absolute" from="6342,-2352" to="6342,-1548" stroked="true" strokeweight="1.44pt" strokecolor="#000000">
              <v:stroke dashstyle="solid"/>
            </v:line>
            <v:line style="position:absolute" from="6431,-1563" to="9021,-1563" stroked="true" strokeweight="1.44pt" strokecolor="#000000">
              <v:stroke dashstyle="solid"/>
            </v:line>
            <v:line style="position:absolute" from="9036,-2352" to="9036,-1548" stroked="true" strokeweight="1.44pt" strokecolor="#000000">
              <v:stroke dashstyle="solid"/>
            </v:line>
            <w10:wrap type="none"/>
          </v:group>
        </w:pict>
      </w:r>
      <w:r>
        <w:rPr/>
        <w:t>Atès el que estableixen els articles 177 del Reial decret legislatiu 2/2004, de 5 de març, pel qual s’aprova el Text refós de la Llei reguladora de les hisendes locals, articles 34 a 38 del RD 500/1990 i article 11 de les bases d´execució del</w:t>
      </w:r>
      <w:r>
        <w:rPr>
          <w:spacing w:val="-13"/>
        </w:rPr>
        <w:t> </w:t>
      </w:r>
      <w:r>
        <w:rPr/>
        <w:t>pressupost.</w:t>
      </w:r>
    </w:p>
    <w:p>
      <w:pPr>
        <w:pStyle w:val="BodyText"/>
        <w:spacing w:before="1"/>
      </w:pPr>
    </w:p>
    <w:p>
      <w:pPr>
        <w:pStyle w:val="BodyText"/>
        <w:ind w:left="305" w:right="273"/>
        <w:jc w:val="both"/>
      </w:pPr>
      <w:r>
        <w:rPr/>
        <w:t>Atès el que estableix l´art. 11 de les bases d´execució del pressupost corresponent a l´exercici econòmic de 2018.</w:t>
      </w:r>
    </w:p>
    <w:p>
      <w:pPr>
        <w:spacing w:after="0"/>
        <w:jc w:val="both"/>
        <w:sectPr>
          <w:headerReference w:type="default" r:id="rId27"/>
          <w:footerReference w:type="default" r:id="rId28"/>
          <w:pgSz w:w="11910" w:h="16840"/>
          <w:pgMar w:header="766" w:footer="0"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1600"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sz w:val="19"/>
        </w:rPr>
      </w:pPr>
    </w:p>
    <w:p>
      <w:pPr>
        <w:pStyle w:val="BodyText"/>
        <w:spacing w:before="94"/>
        <w:ind w:left="305"/>
      </w:pPr>
      <w:r>
        <w:rPr/>
        <w:t>És pel que es proposa al Plenari Municipal, l´adopció dels següents ACORDS:</w:t>
      </w:r>
    </w:p>
    <w:p>
      <w:pPr>
        <w:pStyle w:val="BodyText"/>
      </w:pPr>
    </w:p>
    <w:p>
      <w:pPr>
        <w:pStyle w:val="BodyText"/>
        <w:ind w:left="305" w:right="270"/>
        <w:jc w:val="both"/>
      </w:pPr>
      <w:r>
        <w:rPr/>
        <w:t>PRIMER.- APROVAR l’expedient de transferència de crèdit número 5/2018, per import  de 1.893,08 € que cal finançar mitjançant la baixa d´altres partides del pressupost amb diferent grup de vinculació jurídica, de conformitat amb el detall exposat a la part expositiva</w:t>
      </w:r>
      <w:r>
        <w:rPr>
          <w:spacing w:val="-1"/>
        </w:rPr>
        <w:t> </w:t>
      </w:r>
      <w:r>
        <w:rPr/>
        <w:t>anterior.</w:t>
      </w:r>
    </w:p>
    <w:p>
      <w:pPr>
        <w:pStyle w:val="BodyText"/>
      </w:pPr>
    </w:p>
    <w:p>
      <w:pPr>
        <w:pStyle w:val="BodyText"/>
        <w:ind w:left="305" w:right="271"/>
        <w:jc w:val="both"/>
      </w:pPr>
      <w:r>
        <w:rPr/>
        <w:t>SEGON.- Exposar al públic aquest expedient, durant el termini reglamentari de quinze dies hàbils, mitjançant un edicte al tauler d’anuncis i al Butlletí Oficial de la Província. Si no es presenten reclamacions, l’acord serà ferm. En cas contrari, el Ple disposarà del termini d’un mes, comptat des de la finalització del període d’exposició pública, per resoldre-les.</w:t>
      </w:r>
    </w:p>
    <w:p>
      <w:pPr>
        <w:pStyle w:val="BodyText"/>
        <w:rPr>
          <w:sz w:val="24"/>
        </w:rPr>
      </w:pPr>
    </w:p>
    <w:p>
      <w:pPr>
        <w:pStyle w:val="BodyText"/>
        <w:spacing w:before="10"/>
        <w:rPr>
          <w:sz w:val="19"/>
        </w:rPr>
      </w:pPr>
    </w:p>
    <w:p>
      <w:pPr>
        <w:pStyle w:val="Heading1"/>
        <w:ind w:right="276"/>
      </w:pPr>
      <w:r>
        <w:rPr/>
        <w:t>9.-APROVACIÓ MODIFICACIÓ PRESSUPOST AJUNTAMENT NÚMERO 6/2018, MITJANÇANT SUPLEMENTS DE CRÈDIT</w:t>
      </w:r>
    </w:p>
    <w:p>
      <w:pPr>
        <w:pStyle w:val="BodyText"/>
        <w:spacing w:before="2"/>
        <w:rPr>
          <w:b/>
        </w:rPr>
      </w:pPr>
    </w:p>
    <w:p>
      <w:pPr>
        <w:pStyle w:val="BodyText"/>
        <w:ind w:left="6500" w:right="269" w:firstLine="1541"/>
        <w:jc w:val="both"/>
      </w:pPr>
      <w:r>
        <w:rPr/>
        <w:t>Òrgan: Ple Caràcter: Sessió Ordinària Data: 20 de juliol de 2018</w:t>
      </w:r>
    </w:p>
    <w:p>
      <w:pPr>
        <w:pStyle w:val="BodyText"/>
        <w:spacing w:line="252" w:lineRule="exact"/>
        <w:ind w:left="4064"/>
      </w:pPr>
      <w:r>
        <w:rPr/>
        <w:t>Expedient núm. 1627-000006-2018 (X2018000783)</w:t>
      </w:r>
    </w:p>
    <w:p>
      <w:pPr>
        <w:pStyle w:val="BodyText"/>
        <w:spacing w:line="252" w:lineRule="exact"/>
        <w:ind w:left="6879"/>
      </w:pPr>
      <w:r>
        <w:rPr/>
        <w:t>Aprovat per unanimitat</w:t>
      </w:r>
    </w:p>
    <w:p>
      <w:pPr>
        <w:pStyle w:val="BodyText"/>
        <w:spacing w:before="1"/>
      </w:pPr>
    </w:p>
    <w:p>
      <w:pPr>
        <w:pStyle w:val="BodyText"/>
        <w:ind w:left="305" w:right="279"/>
        <w:jc w:val="both"/>
      </w:pPr>
      <w:r>
        <w:rPr/>
        <w:t>Mitjançant Decret de l’Alcaldia de data 2 de juliol de 2018 s’inicia l’expedient per a l’aprovació de la modificació de crèdit mitjançant suplements de crèdit número 6/2018.</w:t>
      </w:r>
    </w:p>
    <w:p>
      <w:pPr>
        <w:pStyle w:val="BodyText"/>
        <w:spacing w:before="11"/>
        <w:rPr>
          <w:sz w:val="21"/>
        </w:rPr>
      </w:pPr>
    </w:p>
    <w:p>
      <w:pPr>
        <w:pStyle w:val="BodyText"/>
        <w:ind w:left="305" w:right="271"/>
        <w:jc w:val="both"/>
      </w:pPr>
      <w:r>
        <w:rPr/>
        <w:t>Per poder atendre el pagament de les obligacions que es detallen a continuació, per a les quals no hi ha en el pressupost ordinari actual consignació pressupostària suficient, s’ha de tramitar l’expedient de suplement de crèdit que cal finançar mitjançant nous o majors ingressos efectivament recaptats sobre els totals previstos en el pressupost de la corporació, amb subjecció a les disposicions vigents.</w:t>
      </w:r>
    </w:p>
    <w:p>
      <w:pPr>
        <w:pStyle w:val="BodyText"/>
        <w:spacing w:before="1"/>
      </w:pPr>
    </w:p>
    <w:p>
      <w:pPr>
        <w:pStyle w:val="BodyText"/>
        <w:spacing w:line="480" w:lineRule="auto" w:after="5"/>
        <w:ind w:left="305" w:right="6391"/>
      </w:pPr>
      <w:r>
        <w:rPr/>
        <w:pict>
          <v:group style="position:absolute;margin-left:97.584pt;margin-top:55.227909pt;width:429.1pt;height:32.9pt;mso-position-horizontal-relative:page;mso-position-vertical-relative:paragraph;z-index:-53032" coordorigin="1952,1105" coordsize="8582,658">
            <v:rect style="position:absolute;left:1985;top:1118;width:2742;height:255" filled="true" fillcolor="#dfdfdf" stroked="false">
              <v:fill type="solid"/>
            </v:rect>
            <v:line style="position:absolute" from="1966,1112" to="4743,1112" stroked="true" strokeweight=".71997pt" strokecolor="#000000">
              <v:stroke dashstyle="solid"/>
            </v:line>
            <v:line style="position:absolute" from="1966,1120" to="4743,1120" stroked="true" strokeweight=".12pt" strokecolor="#dfdfdf">
              <v:stroke dashstyle="solid"/>
            </v:line>
            <v:line style="position:absolute" from="1959,1105" to="1959,1402" stroked="true" strokeweight=".72pt" strokecolor="#000000">
              <v:stroke dashstyle="solid"/>
            </v:line>
            <v:rect style="position:absolute;left:4865;top:1118;width:2742;height:255" filled="true" fillcolor="#dfdfdf" stroked="false">
              <v:fill type="solid"/>
            </v:rect>
            <v:line style="position:absolute" from="4847,1112" to="7624,1112" stroked="true" strokeweight=".71997pt" strokecolor="#000000">
              <v:stroke dashstyle="solid"/>
            </v:line>
            <v:line style="position:absolute" from="4847,1120" to="7624,1120" stroked="true" strokeweight=".12pt" strokecolor="#dfdfdf">
              <v:stroke dashstyle="solid"/>
            </v:line>
            <v:line style="position:absolute" from="4839,1105" to="4839,1402" stroked="true" strokeweight=".72pt" strokecolor="#000000">
              <v:stroke dashstyle="solid"/>
            </v:line>
            <v:line style="position:absolute" from="4758,1105" to="4758,1402" stroked="true" strokeweight="1.44pt" strokecolor="#000000">
              <v:stroke dashstyle="solid"/>
            </v:line>
            <v:rect style="position:absolute;left:7746;top:1118;width:2742;height:255" filled="true" fillcolor="#dfdfdf" stroked="false">
              <v:fill type="solid"/>
            </v:rect>
            <v:line style="position:absolute" from="7727,1112" to="10504,1112" stroked="true" strokeweight=".71997pt" strokecolor="#000000">
              <v:stroke dashstyle="solid"/>
            </v:line>
            <v:line style="position:absolute" from="7727,1120" to="10504,1120" stroked="true" strokeweight=".12pt" strokecolor="#dfdfdf">
              <v:stroke dashstyle="solid"/>
            </v:line>
            <v:line style="position:absolute" from="7720,1105" to="7720,1402" stroked="true" strokeweight=".72pt" strokecolor="#000000">
              <v:stroke dashstyle="solid"/>
            </v:line>
            <v:line style="position:absolute" from="7638,1105" to="7638,1402" stroked="true" strokeweight="1.44pt" strokecolor="#000000">
              <v:stroke dashstyle="solid"/>
            </v:line>
            <v:line style="position:absolute" from="10519,1105" to="10519,1402" stroked="true" strokeweight="1.44pt" strokecolor="#000000">
              <v:stroke dashstyle="solid"/>
            </v:line>
            <v:line style="position:absolute" from="1966,1388" to="4743,1388" stroked="true" strokeweight="1.44pt" strokecolor="#000000">
              <v:stroke dashstyle="solid"/>
            </v:line>
            <v:line style="position:absolute" from="1966,1469" to="4743,1469" stroked="true" strokeweight=".71997pt" strokecolor="#000000">
              <v:stroke dashstyle="solid"/>
            </v:line>
            <v:line style="position:absolute" from="4847,1388" to="7624,1388" stroked="true" strokeweight="1.44pt" strokecolor="#000000">
              <v:stroke dashstyle="solid"/>
            </v:line>
            <v:line style="position:absolute" from="4847,1469" to="7624,1469" stroked="true" strokeweight=".71997pt" strokecolor="#000000">
              <v:stroke dashstyle="solid"/>
            </v:line>
            <v:line style="position:absolute" from="7727,1388" to="10504,1388" stroked="true" strokeweight="1.44pt" strokecolor="#000000">
              <v:stroke dashstyle="solid"/>
            </v:line>
            <v:line style="position:absolute" from="7727,1469" to="10504,1469" stroked="true" strokeweight=".71997pt" strokecolor="#000000">
              <v:stroke dashstyle="solid"/>
            </v:line>
            <v:line style="position:absolute" from="1959,1462" to="1959,1762" stroked="true" strokeweight=".72pt" strokecolor="#000000">
              <v:stroke dashstyle="solid"/>
            </v:line>
            <v:line style="position:absolute" from="1966,1748" to="4743,1748" stroked="true" strokeweight="1.44pt" strokecolor="#000000">
              <v:stroke dashstyle="solid"/>
            </v:line>
            <v:line style="position:absolute" from="4839,1462" to="4839,1762" stroked="true" strokeweight=".72pt" strokecolor="#000000">
              <v:stroke dashstyle="solid"/>
            </v:line>
            <v:line style="position:absolute" from="4758,1462" to="4758,1762" stroked="true" strokeweight="1.44pt" strokecolor="#000000">
              <v:stroke dashstyle="solid"/>
            </v:line>
            <v:line style="position:absolute" from="4847,1748" to="7624,1748" stroked="true" strokeweight="1.44pt" strokecolor="#000000">
              <v:stroke dashstyle="solid"/>
            </v:line>
            <v:line style="position:absolute" from="7720,1462" to="7720,1762" stroked="true" strokeweight=".72pt" strokecolor="#000000">
              <v:stroke dashstyle="solid"/>
            </v:line>
            <v:line style="position:absolute" from="7638,1462" to="7638,1762" stroked="true" strokeweight="1.44pt" strokecolor="#000000">
              <v:stroke dashstyle="solid"/>
            </v:line>
            <v:line style="position:absolute" from="7727,1748" to="10504,1748" stroked="true" strokeweight="1.44pt" strokecolor="#000000">
              <v:stroke dashstyle="solid"/>
            </v:line>
            <v:line style="position:absolute" from="10519,1462" to="10519,1762" stroked="true" strokeweight="1.44pt" strokecolor="#000000">
              <v:stroke dashstyle="solid"/>
            </v:line>
            <w10:wrap type="none"/>
          </v:group>
        </w:pict>
      </w:r>
      <w:r>
        <w:rPr/>
        <w:t>Despeses que cal finançar: Suplements de crèdit:</w:t>
      </w:r>
    </w:p>
    <w:tbl>
      <w:tblPr>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1"/>
        <w:gridCol w:w="82"/>
        <w:gridCol w:w="2799"/>
        <w:gridCol w:w="82"/>
        <w:gridCol w:w="2881"/>
      </w:tblGrid>
      <w:tr>
        <w:trPr>
          <w:trHeight w:val="379" w:hRule="atLeast"/>
        </w:trPr>
        <w:tc>
          <w:tcPr>
            <w:tcW w:w="2881" w:type="dxa"/>
            <w:tcBorders>
              <w:top w:val="single" w:sz="12" w:space="0" w:color="000000"/>
              <w:left w:val="single" w:sz="12" w:space="0" w:color="000000"/>
            </w:tcBorders>
          </w:tcPr>
          <w:p>
            <w:pPr>
              <w:pStyle w:val="TableParagraph"/>
              <w:spacing w:line="240" w:lineRule="auto" w:before="71"/>
              <w:rPr>
                <w:sz w:val="22"/>
              </w:rPr>
            </w:pPr>
            <w:r>
              <w:rPr>
                <w:sz w:val="22"/>
              </w:rPr>
              <w:t>Partida</w:t>
            </w:r>
          </w:p>
        </w:tc>
        <w:tc>
          <w:tcPr>
            <w:tcW w:w="82" w:type="dxa"/>
            <w:tcBorders>
              <w:top w:val="single" w:sz="12" w:space="0" w:color="000000"/>
            </w:tcBorders>
          </w:tcPr>
          <w:p>
            <w:pPr>
              <w:pStyle w:val="TableParagraph"/>
              <w:spacing w:line="240" w:lineRule="auto"/>
              <w:ind w:left="0"/>
              <w:rPr>
                <w:rFonts w:ascii="Times New Roman"/>
                <w:sz w:val="20"/>
              </w:rPr>
            </w:pPr>
          </w:p>
        </w:tc>
        <w:tc>
          <w:tcPr>
            <w:tcW w:w="2799" w:type="dxa"/>
            <w:tcBorders>
              <w:top w:val="single" w:sz="12" w:space="0" w:color="000000"/>
            </w:tcBorders>
          </w:tcPr>
          <w:p>
            <w:pPr>
              <w:pStyle w:val="TableParagraph"/>
              <w:spacing w:line="240" w:lineRule="auto" w:before="71"/>
              <w:ind w:left="39"/>
              <w:rPr>
                <w:sz w:val="22"/>
              </w:rPr>
            </w:pPr>
            <w:r>
              <w:rPr>
                <w:sz w:val="22"/>
              </w:rPr>
              <w:t>Nom</w:t>
            </w:r>
          </w:p>
        </w:tc>
        <w:tc>
          <w:tcPr>
            <w:tcW w:w="82" w:type="dxa"/>
            <w:tcBorders>
              <w:top w:val="single" w:sz="12" w:space="0" w:color="000000"/>
            </w:tcBorders>
          </w:tcPr>
          <w:p>
            <w:pPr>
              <w:pStyle w:val="TableParagraph"/>
              <w:spacing w:line="240" w:lineRule="auto"/>
              <w:ind w:left="0"/>
              <w:rPr>
                <w:rFonts w:ascii="Times New Roman"/>
                <w:sz w:val="20"/>
              </w:rPr>
            </w:pPr>
          </w:p>
        </w:tc>
        <w:tc>
          <w:tcPr>
            <w:tcW w:w="2881" w:type="dxa"/>
            <w:tcBorders>
              <w:top w:val="single" w:sz="12" w:space="0" w:color="000000"/>
              <w:right w:val="single" w:sz="6" w:space="0" w:color="000000"/>
            </w:tcBorders>
          </w:tcPr>
          <w:p>
            <w:pPr>
              <w:pStyle w:val="TableParagraph"/>
              <w:spacing w:line="240" w:lineRule="auto" w:before="71"/>
              <w:ind w:left="39"/>
              <w:rPr>
                <w:sz w:val="22"/>
              </w:rPr>
            </w:pPr>
            <w:r>
              <w:rPr>
                <w:sz w:val="22"/>
              </w:rPr>
              <w:t>Proposta de consignació</w:t>
            </w:r>
          </w:p>
        </w:tc>
      </w:tr>
      <w:tr>
        <w:trPr>
          <w:trHeight w:val="396" w:hRule="atLeast"/>
        </w:trPr>
        <w:tc>
          <w:tcPr>
            <w:tcW w:w="2881" w:type="dxa"/>
            <w:tcBorders>
              <w:left w:val="single" w:sz="12" w:space="0" w:color="000000"/>
              <w:bottom w:val="single" w:sz="6" w:space="0" w:color="000000"/>
            </w:tcBorders>
          </w:tcPr>
          <w:p>
            <w:pPr>
              <w:pStyle w:val="TableParagraph"/>
              <w:spacing w:line="240" w:lineRule="auto" w:before="49"/>
              <w:rPr>
                <w:sz w:val="22"/>
              </w:rPr>
            </w:pPr>
            <w:r>
              <w:rPr>
                <w:sz w:val="22"/>
              </w:rPr>
              <w:t>06.340.22650</w:t>
            </w:r>
          </w:p>
        </w:tc>
        <w:tc>
          <w:tcPr>
            <w:tcW w:w="82" w:type="dxa"/>
            <w:tcBorders>
              <w:bottom w:val="single" w:sz="6" w:space="0" w:color="000000"/>
            </w:tcBorders>
          </w:tcPr>
          <w:p>
            <w:pPr>
              <w:pStyle w:val="TableParagraph"/>
              <w:spacing w:line="240" w:lineRule="auto"/>
              <w:ind w:left="0"/>
              <w:rPr>
                <w:rFonts w:ascii="Times New Roman"/>
                <w:sz w:val="20"/>
              </w:rPr>
            </w:pPr>
          </w:p>
        </w:tc>
        <w:tc>
          <w:tcPr>
            <w:tcW w:w="2799" w:type="dxa"/>
            <w:tcBorders>
              <w:bottom w:val="single" w:sz="6" w:space="0" w:color="000000"/>
            </w:tcBorders>
          </w:tcPr>
          <w:p>
            <w:pPr>
              <w:pStyle w:val="TableParagraph"/>
              <w:spacing w:line="240" w:lineRule="auto" w:before="49"/>
              <w:ind w:left="39"/>
              <w:rPr>
                <w:sz w:val="22"/>
              </w:rPr>
            </w:pPr>
            <w:r>
              <w:rPr>
                <w:sz w:val="22"/>
              </w:rPr>
              <w:t>Activitats esportives</w:t>
            </w:r>
          </w:p>
        </w:tc>
        <w:tc>
          <w:tcPr>
            <w:tcW w:w="82" w:type="dxa"/>
            <w:tcBorders>
              <w:bottom w:val="single" w:sz="6" w:space="0" w:color="000000"/>
            </w:tcBorders>
          </w:tcPr>
          <w:p>
            <w:pPr>
              <w:pStyle w:val="TableParagraph"/>
              <w:spacing w:line="240" w:lineRule="auto"/>
              <w:ind w:left="0"/>
              <w:rPr>
                <w:rFonts w:ascii="Times New Roman"/>
                <w:sz w:val="20"/>
              </w:rPr>
            </w:pPr>
          </w:p>
        </w:tc>
        <w:tc>
          <w:tcPr>
            <w:tcW w:w="2881" w:type="dxa"/>
            <w:tcBorders>
              <w:bottom w:val="single" w:sz="6" w:space="0" w:color="000000"/>
              <w:right w:val="single" w:sz="6" w:space="0" w:color="000000"/>
            </w:tcBorders>
          </w:tcPr>
          <w:p>
            <w:pPr>
              <w:pStyle w:val="TableParagraph"/>
              <w:spacing w:line="240" w:lineRule="auto" w:before="49"/>
              <w:ind w:left="39"/>
              <w:rPr>
                <w:sz w:val="22"/>
              </w:rPr>
            </w:pPr>
            <w:r>
              <w:rPr>
                <w:sz w:val="22"/>
              </w:rPr>
              <w:t>4.500,00 €</w:t>
            </w:r>
          </w:p>
        </w:tc>
      </w:tr>
    </w:tbl>
    <w:p>
      <w:pPr>
        <w:pStyle w:val="BodyText"/>
        <w:spacing w:before="2"/>
        <w:rPr>
          <w:sz w:val="17"/>
        </w:rPr>
      </w:pPr>
      <w:r>
        <w:rPr/>
        <w:pict>
          <v:group style="position:absolute;margin-left:93.143997pt;margin-top:12.6pt;width:437.25pt;height:23.2pt;mso-position-horizontal-relative:page;mso-position-vertical-relative:paragraph;z-index:1528;mso-wrap-distance-left:0;mso-wrap-distance-right:0" coordorigin="1863,252" coordsize="8745,464">
            <v:rect style="position:absolute;left:1862;top:252;width:104;height:29" filled="true" fillcolor="#000000" stroked="false">
              <v:fill type="solid"/>
            </v:rect>
            <v:line style="position:absolute" from="1966,266" to="6236,266" stroked="true" strokeweight="1.44pt" strokecolor="#000000">
              <v:stroke dashstyle="solid"/>
            </v:line>
            <v:rect style="position:absolute;left:6236;top:252;width:104;height:29" filled="true" fillcolor="#000000" stroked="false">
              <v:fill type="solid"/>
            </v:rect>
            <v:line style="position:absolute" from="6340,266" to="10504,266" stroked="true" strokeweight="1.44pt" strokecolor="#000000">
              <v:stroke dashstyle="solid"/>
            </v:line>
            <v:rect style="position:absolute;left:10504;top:252;width:104;height:29" filled="true" fillcolor="#000000" stroked="false">
              <v:fill type="solid"/>
            </v:rect>
            <v:line style="position:absolute" from="1877,252" to="1877,715" stroked="true" strokeweight="1.44pt" strokecolor="#000000">
              <v:stroke dashstyle="solid"/>
            </v:line>
            <v:rect style="position:absolute;left:1862;top:686;width:104;height:29" filled="true" fillcolor="#000000" stroked="false">
              <v:fill type="solid"/>
            </v:rect>
            <v:line style="position:absolute" from="1966,701" to="6236,701" stroked="true" strokeweight="1.44pt" strokecolor="#000000">
              <v:stroke dashstyle="solid"/>
            </v:line>
            <v:rect style="position:absolute;left:6221;top:686;width:104;height:29" filled="true" fillcolor="#000000" stroked="false">
              <v:fill type="solid"/>
            </v:rect>
            <v:line style="position:absolute" from="6325,701" to="10504,701" stroked="true" strokeweight="1.44pt" strokecolor="#000000">
              <v:stroke dashstyle="solid"/>
            </v:line>
            <v:line style="position:absolute" from="10593,252" to="10593,715" stroked="true" strokeweight="1.44pt" strokecolor="#000000">
              <v:stroke dashstyle="solid"/>
            </v:line>
            <v:rect style="position:absolute;left:10504;top:686;width:104;height:29" filled="true" fillcolor="#000000" stroked="false">
              <v:fill type="solid"/>
            </v:rect>
            <v:shape style="position:absolute;left:1958;top:348;width:8553;height:272" type="#_x0000_t202" filled="true" fillcolor="#dfdfdf" stroked="true" strokeweight=".71997pt" strokecolor="#000000">
              <v:textbox inset="0,0,0,0">
                <w:txbxContent>
                  <w:p>
                    <w:pPr>
                      <w:spacing w:before="0"/>
                      <w:ind w:left="19" w:right="0" w:firstLine="0"/>
                      <w:jc w:val="left"/>
                      <w:rPr>
                        <w:sz w:val="22"/>
                      </w:rPr>
                    </w:pPr>
                    <w:r>
                      <w:rPr>
                        <w:sz w:val="22"/>
                      </w:rPr>
                      <w:t>Total altes crèdits : 4.500,00 €</w:t>
                    </w:r>
                  </w:p>
                </w:txbxContent>
              </v:textbox>
              <v:fill type="solid"/>
              <v:stroke dashstyle="solid"/>
              <w10:wrap type="none"/>
            </v:shape>
            <w10:wrap type="topAndBottom"/>
          </v:group>
        </w:pict>
      </w:r>
    </w:p>
    <w:p>
      <w:pPr>
        <w:pStyle w:val="BodyText"/>
        <w:spacing w:before="205"/>
        <w:ind w:left="305"/>
        <w:jc w:val="both"/>
      </w:pPr>
      <w:r>
        <w:rPr/>
        <w:t>Finançament que es proposa:</w:t>
      </w:r>
    </w:p>
    <w:p>
      <w:pPr>
        <w:pStyle w:val="BodyText"/>
        <w:spacing w:before="1"/>
      </w:pPr>
    </w:p>
    <w:p>
      <w:pPr>
        <w:pStyle w:val="BodyText"/>
        <w:ind w:left="305"/>
        <w:jc w:val="both"/>
      </w:pPr>
      <w:r>
        <w:rPr/>
        <w:pict>
          <v:group style="position:absolute;margin-left:93.143997pt;margin-top:25.437864pt;width:264.45pt;height:91.7pt;mso-position-horizontal-relative:page;mso-position-vertical-relative:paragraph;z-index:-53008" coordorigin="1863,509" coordsize="5289,1834">
            <v:rect style="position:absolute;left:1862;top:508;width:104;height:29" filled="true" fillcolor="#000000" stroked="false">
              <v:fill type="solid"/>
            </v:rect>
            <v:line style="position:absolute" from="1966,523" to="3591,523" stroked="true" strokeweight="1.44pt" strokecolor="#000000">
              <v:stroke dashstyle="solid"/>
            </v:line>
            <v:rect style="position:absolute;left:3590;top:508;width:104;height:29" filled="true" fillcolor="#000000" stroked="false">
              <v:fill type="solid"/>
            </v:rect>
            <v:line style="position:absolute" from="3694,523" to="5319,523" stroked="true" strokeweight="1.44pt" strokecolor="#000000">
              <v:stroke dashstyle="solid"/>
            </v:line>
            <v:rect style="position:absolute;left:5319;top:508;width:104;height:29" filled="true" fillcolor="#000000" stroked="false">
              <v:fill type="solid"/>
            </v:rect>
            <v:line style="position:absolute" from="5423,523" to="7048,523" stroked="true" strokeweight="1.44pt" strokecolor="#000000">
              <v:stroke dashstyle="solid"/>
            </v:line>
            <v:rect style="position:absolute;left:7047;top:508;width:104;height:29" filled="true" fillcolor="#000000" stroked="false">
              <v:fill type="solid"/>
            </v:rect>
            <v:line style="position:absolute" from="1877,509" to="1877,2240" stroked="true" strokeweight="1.44pt" strokecolor="#000000">
              <v:stroke dashstyle="solid"/>
            </v:line>
            <v:shape style="position:absolute;left:1862;top:2239;width:104;height:104" coordorigin="1863,2240" coordsize="104,104" path="m1966,2328l1892,2328,1892,2240,1863,2240,1863,2328,1863,2343,1892,2343,1966,2343,1966,2328e" filled="true" fillcolor="#000000" stroked="false">
              <v:path arrowok="t"/>
              <v:fill type="solid"/>
            </v:shape>
            <v:line style="position:absolute" from="1966,2336" to="3591,2336" stroked="true" strokeweight=".72003pt" strokecolor="#000000">
              <v:stroke dashstyle="solid"/>
            </v:line>
            <v:rect style="position:absolute;left:3590;top:2328;width:104;height:15" filled="true" fillcolor="#000000" stroked="false">
              <v:fill type="solid"/>
            </v:rect>
            <v:line style="position:absolute" from="3694,2336" to="5319,2336" stroked="true" strokeweight=".72003pt" strokecolor="#000000">
              <v:stroke dashstyle="solid"/>
            </v:line>
            <v:rect style="position:absolute;left:5319;top:2328;width:104;height:15" filled="true" fillcolor="#000000" stroked="false">
              <v:fill type="solid"/>
            </v:rect>
            <v:line style="position:absolute" from="5423,2336" to="7048,2336" stroked="true" strokeweight=".72003pt" strokecolor="#000000">
              <v:stroke dashstyle="solid"/>
            </v:line>
            <v:line style="position:absolute" from="7144,509" to="7144,2240" stroked="true" strokeweight=".72pt" strokecolor="#000000">
              <v:stroke dashstyle="solid"/>
            </v:line>
            <v:shape style="position:absolute;left:7047;top:2239;width:104;height:104" coordorigin="7048,2240" coordsize="104,104" path="m7151,2240l7137,2240,7137,2328,7048,2328,7048,2343,7137,2343,7151,2343,7151,2328,7151,2240e" filled="true" fillcolor="#000000" stroked="false">
              <v:path arrowok="t"/>
              <v:fill type="solid"/>
            </v:shape>
            <w10:wrap type="none"/>
          </v:group>
        </w:pict>
      </w:r>
      <w:r>
        <w:rPr/>
        <w:t>1/ Nous o majors ingressos efectivament recaptats:</w:t>
      </w:r>
    </w:p>
    <w:p>
      <w:pPr>
        <w:pStyle w:val="BodyText"/>
        <w:spacing w:before="11"/>
        <w:rPr>
          <w:sz w:val="29"/>
        </w:rPr>
      </w:pPr>
    </w:p>
    <w:tbl>
      <w:tblPr>
        <w:tblW w:w="0" w:type="auto"/>
        <w:jc w:val="left"/>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84"/>
        <w:gridCol w:w="1729"/>
        <w:gridCol w:w="1692"/>
      </w:tblGrid>
      <w:tr>
        <w:trPr>
          <w:trHeight w:val="538" w:hRule="atLeast"/>
        </w:trPr>
        <w:tc>
          <w:tcPr>
            <w:tcW w:w="1684" w:type="dxa"/>
            <w:tcBorders>
              <w:bottom w:val="thinThickMediumGap" w:sz="6" w:space="0" w:color="000000"/>
              <w:right w:val="thinThickMediumGap" w:sz="6" w:space="0" w:color="000000"/>
            </w:tcBorders>
            <w:shd w:val="clear" w:color="auto" w:fill="DFDFDF"/>
          </w:tcPr>
          <w:p>
            <w:pPr>
              <w:pStyle w:val="TableParagraph"/>
              <w:spacing w:line="240" w:lineRule="auto"/>
              <w:ind w:left="26"/>
              <w:rPr>
                <w:sz w:val="22"/>
              </w:rPr>
            </w:pPr>
            <w:r>
              <w:rPr>
                <w:sz w:val="22"/>
              </w:rPr>
              <w:t>Partida</w:t>
            </w:r>
          </w:p>
        </w:tc>
        <w:tc>
          <w:tcPr>
            <w:tcW w:w="1729" w:type="dxa"/>
            <w:tcBorders>
              <w:left w:val="thickThinMediumGap" w:sz="6" w:space="0" w:color="000000"/>
              <w:bottom w:val="thinThickMediumGap" w:sz="6" w:space="0" w:color="000000"/>
              <w:right w:val="thinThickMediumGap" w:sz="6" w:space="0" w:color="000000"/>
            </w:tcBorders>
            <w:shd w:val="clear" w:color="auto" w:fill="DFDFDF"/>
          </w:tcPr>
          <w:p>
            <w:pPr>
              <w:pStyle w:val="TableParagraph"/>
              <w:spacing w:line="240" w:lineRule="auto"/>
              <w:ind w:left="55"/>
              <w:rPr>
                <w:sz w:val="22"/>
              </w:rPr>
            </w:pPr>
            <w:r>
              <w:rPr>
                <w:sz w:val="22"/>
              </w:rPr>
              <w:t>Nom</w:t>
            </w:r>
          </w:p>
        </w:tc>
        <w:tc>
          <w:tcPr>
            <w:tcW w:w="1692" w:type="dxa"/>
            <w:tcBorders>
              <w:left w:val="thickThinMediumGap" w:sz="6" w:space="0" w:color="000000"/>
              <w:bottom w:val="thinThickMediumGap" w:sz="6" w:space="0" w:color="000000"/>
              <w:right w:val="single" w:sz="12" w:space="0" w:color="000000"/>
            </w:tcBorders>
            <w:shd w:val="clear" w:color="auto" w:fill="DFDFDF"/>
          </w:tcPr>
          <w:p>
            <w:pPr>
              <w:pStyle w:val="TableParagraph"/>
              <w:tabs>
                <w:tab w:pos="1400" w:val="left" w:leader="none"/>
              </w:tabs>
              <w:spacing w:line="240" w:lineRule="auto"/>
              <w:ind w:left="54" w:right="6"/>
              <w:rPr>
                <w:sz w:val="22"/>
              </w:rPr>
            </w:pPr>
            <w:r>
              <w:rPr>
                <w:sz w:val="22"/>
              </w:rPr>
              <w:t>Proposta</w:t>
              <w:tab/>
              <w:t>de Consignació</w:t>
            </w:r>
          </w:p>
        </w:tc>
      </w:tr>
      <w:tr>
        <w:trPr>
          <w:trHeight w:val="1043" w:hRule="atLeast"/>
        </w:trPr>
        <w:tc>
          <w:tcPr>
            <w:tcW w:w="1684" w:type="dxa"/>
            <w:tcBorders>
              <w:top w:val="thickThinMediumGap" w:sz="6" w:space="0" w:color="000000"/>
              <w:bottom w:val="single" w:sz="12" w:space="0" w:color="000000"/>
              <w:right w:val="thinThickMediumGap" w:sz="6" w:space="0" w:color="000000"/>
            </w:tcBorders>
          </w:tcPr>
          <w:p>
            <w:pPr>
              <w:pStyle w:val="TableParagraph"/>
              <w:spacing w:line="240" w:lineRule="auto" w:before="26"/>
              <w:ind w:left="26"/>
              <w:rPr>
                <w:sz w:val="22"/>
              </w:rPr>
            </w:pPr>
            <w:r>
              <w:rPr>
                <w:sz w:val="22"/>
              </w:rPr>
              <w:t>06.46103</w:t>
            </w:r>
          </w:p>
        </w:tc>
        <w:tc>
          <w:tcPr>
            <w:tcW w:w="1729" w:type="dxa"/>
            <w:tcBorders>
              <w:top w:val="thickThinMediumGap" w:sz="6" w:space="0" w:color="000000"/>
              <w:left w:val="thickThinMediumGap" w:sz="6" w:space="0" w:color="000000"/>
              <w:bottom w:val="single" w:sz="12" w:space="0" w:color="000000"/>
              <w:right w:val="thinThickMediumGap" w:sz="6" w:space="0" w:color="000000"/>
            </w:tcBorders>
          </w:tcPr>
          <w:p>
            <w:pPr>
              <w:pStyle w:val="TableParagraph"/>
              <w:tabs>
                <w:tab w:pos="1398" w:val="left" w:leader="none"/>
              </w:tabs>
              <w:spacing w:line="240" w:lineRule="auto" w:before="26"/>
              <w:ind w:left="55" w:right="37"/>
              <w:rPr>
                <w:sz w:val="22"/>
              </w:rPr>
            </w:pPr>
            <w:r>
              <w:rPr>
                <w:sz w:val="22"/>
              </w:rPr>
              <w:t>Subvenció Diputació</w:t>
              <w:tab/>
              <w:t>de</w:t>
            </w:r>
          </w:p>
          <w:p>
            <w:pPr>
              <w:pStyle w:val="TableParagraph"/>
              <w:spacing w:line="252" w:lineRule="exact" w:before="6"/>
              <w:ind w:left="55"/>
              <w:rPr>
                <w:sz w:val="22"/>
              </w:rPr>
            </w:pPr>
            <w:r>
              <w:rPr>
                <w:sz w:val="22"/>
              </w:rPr>
              <w:t>Girona Foment esport</w:t>
            </w:r>
          </w:p>
        </w:tc>
        <w:tc>
          <w:tcPr>
            <w:tcW w:w="1692" w:type="dxa"/>
            <w:tcBorders>
              <w:top w:val="thickThinMediumGap" w:sz="6" w:space="0" w:color="000000"/>
              <w:left w:val="thickThinMediumGap" w:sz="6" w:space="0" w:color="000000"/>
              <w:bottom w:val="single" w:sz="12" w:space="0" w:color="000000"/>
              <w:right w:val="single" w:sz="12" w:space="0" w:color="000000"/>
            </w:tcBorders>
          </w:tcPr>
          <w:p>
            <w:pPr>
              <w:pStyle w:val="TableParagraph"/>
              <w:spacing w:line="240" w:lineRule="auto" w:before="26"/>
              <w:ind w:left="117"/>
              <w:rPr>
                <w:sz w:val="22"/>
              </w:rPr>
            </w:pPr>
            <w:r>
              <w:rPr>
                <w:sz w:val="22"/>
              </w:rPr>
              <w:t>4.500,00 €</w:t>
            </w:r>
          </w:p>
        </w:tc>
      </w:tr>
    </w:tbl>
    <w:p>
      <w:pPr>
        <w:spacing w:after="0" w:line="240" w:lineRule="auto"/>
        <w:rPr>
          <w:sz w:val="22"/>
        </w:rPr>
        <w:sectPr>
          <w:headerReference w:type="default" r:id="rId29"/>
          <w:footerReference w:type="default" r:id="rId30"/>
          <w:pgSz w:w="11910" w:h="16840"/>
          <w:pgMar w:header="766" w:footer="0"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1696"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rPr>
          <w:sz w:val="20"/>
        </w:rPr>
      </w:pPr>
    </w:p>
    <w:p>
      <w:pPr>
        <w:pStyle w:val="BodyText"/>
        <w:spacing w:before="7"/>
        <w:rPr>
          <w:sz w:val="28"/>
        </w:rPr>
      </w:pPr>
    </w:p>
    <w:p>
      <w:pPr>
        <w:pStyle w:val="BodyText"/>
        <w:ind w:left="182"/>
        <w:rPr>
          <w:sz w:val="20"/>
        </w:rPr>
      </w:pPr>
      <w:r>
        <w:rPr>
          <w:sz w:val="20"/>
        </w:rPr>
        <w:pict>
          <v:group style="width:437.25pt;height:23.2pt;mso-position-horizontal-relative:char;mso-position-vertical-relative:line" coordorigin="0,0" coordsize="8745,464">
            <v:rect style="position:absolute;left:0;top:0;width:104;height:29" filled="true" fillcolor="#000000" stroked="false">
              <v:fill type="solid"/>
            </v:rect>
            <v:line style="position:absolute" from="103,14" to="4373,14" stroked="true" strokeweight="1.44pt" strokecolor="#000000">
              <v:stroke dashstyle="solid"/>
            </v:line>
            <v:rect style="position:absolute;left:4373;top:0;width:104;height:29" filled="true" fillcolor="#000000" stroked="false">
              <v:fill type="solid"/>
            </v:rect>
            <v:line style="position:absolute" from="4477,14" to="8641,14" stroked="true" strokeweight="1.44pt" strokecolor="#000000">
              <v:stroke dashstyle="solid"/>
            </v:line>
            <v:rect style="position:absolute;left:8641;top:0;width:104;height:29" filled="true" fillcolor="#000000" stroked="false">
              <v:fill type="solid"/>
            </v:rect>
            <v:line style="position:absolute" from="14,0" to="14,463" stroked="true" strokeweight="1.44pt" strokecolor="#000000">
              <v:stroke dashstyle="solid"/>
            </v:line>
            <v:rect style="position:absolute;left:0;top:434;width:104;height:29" filled="true" fillcolor="#000000" stroked="false">
              <v:fill type="solid"/>
            </v:rect>
            <v:line style="position:absolute" from="103,449" to="4373,449" stroked="true" strokeweight="1.44pt" strokecolor="#000000">
              <v:stroke dashstyle="solid"/>
            </v:line>
            <v:rect style="position:absolute;left:4358;top:434;width:104;height:29" filled="true" fillcolor="#000000" stroked="false">
              <v:fill type="solid"/>
            </v:rect>
            <v:line style="position:absolute" from="4463,449" to="8641,449" stroked="true" strokeweight="1.44pt" strokecolor="#000000">
              <v:stroke dashstyle="solid"/>
            </v:line>
            <v:line style="position:absolute" from="8730,0" to="8730,463" stroked="true" strokeweight="1.44pt" strokecolor="#000000">
              <v:stroke dashstyle="solid"/>
            </v:line>
            <v:rect style="position:absolute;left:8641;top:434;width:104;height:29" filled="true" fillcolor="#000000" stroked="false">
              <v:fill type="solid"/>
            </v:rect>
            <v:shape style="position:absolute;left:96;top:96;width:8553;height:272" type="#_x0000_t202" filled="true" fillcolor="#dfdfdf" stroked="true" strokeweight=".71997pt" strokecolor="#000000">
              <v:textbox inset="0,0,0,0">
                <w:txbxContent>
                  <w:p>
                    <w:pPr>
                      <w:spacing w:before="0"/>
                      <w:ind w:left="19" w:right="0" w:firstLine="0"/>
                      <w:jc w:val="left"/>
                      <w:rPr>
                        <w:sz w:val="22"/>
                      </w:rPr>
                    </w:pPr>
                    <w:r>
                      <w:rPr>
                        <w:sz w:val="22"/>
                      </w:rPr>
                      <w:t>Total finançament: 4.500,00 €</w:t>
                    </w:r>
                  </w:p>
                </w:txbxContent>
              </v:textbox>
              <v:fill type="solid"/>
              <v:stroke dashstyle="solid"/>
              <w10:wrap type="none"/>
            </v:shape>
          </v:group>
        </w:pict>
      </w:r>
      <w:r>
        <w:rPr>
          <w:sz w:val="20"/>
        </w:rPr>
      </w:r>
    </w:p>
    <w:p>
      <w:pPr>
        <w:pStyle w:val="BodyText"/>
        <w:rPr>
          <w:sz w:val="11"/>
        </w:rPr>
      </w:pPr>
    </w:p>
    <w:p>
      <w:pPr>
        <w:pStyle w:val="BodyText"/>
        <w:spacing w:before="93"/>
        <w:ind w:left="305"/>
        <w:jc w:val="both"/>
      </w:pPr>
      <w:r>
        <w:rPr/>
        <w:t>Atès que la Secretària-Interventora ha emès els corresponents informes favorables.</w:t>
      </w:r>
    </w:p>
    <w:p>
      <w:pPr>
        <w:pStyle w:val="BodyText"/>
        <w:spacing w:before="10"/>
        <w:rPr>
          <w:sz w:val="21"/>
        </w:rPr>
      </w:pPr>
    </w:p>
    <w:p>
      <w:pPr>
        <w:pStyle w:val="BodyText"/>
        <w:ind w:left="305" w:right="276"/>
        <w:jc w:val="both"/>
      </w:pPr>
      <w:r>
        <w:rPr/>
        <w:t>Atès el que estableixen els articles 177 del Reial decret legislatiu 2/2004, de 5 de març, pel qual s’aprova el Text refós de la Llei reguladora de les hisendes locals i als articles 34 a 38 del RD 500/1990.</w:t>
      </w:r>
    </w:p>
    <w:p>
      <w:pPr>
        <w:pStyle w:val="BodyText"/>
        <w:spacing w:before="1"/>
      </w:pPr>
    </w:p>
    <w:p>
      <w:pPr>
        <w:pStyle w:val="BodyText"/>
        <w:ind w:left="305" w:right="276"/>
        <w:jc w:val="both"/>
      </w:pPr>
      <w:r>
        <w:rPr/>
        <w:t>Per tot el que s´acaba d´exposar, és pel que es proposa al Plenari Municipal, l´adopció dels següents ACORDS:</w:t>
      </w:r>
    </w:p>
    <w:p>
      <w:pPr>
        <w:pStyle w:val="BodyText"/>
      </w:pPr>
    </w:p>
    <w:p>
      <w:pPr>
        <w:pStyle w:val="BodyText"/>
        <w:ind w:left="305" w:right="272"/>
        <w:jc w:val="both"/>
      </w:pPr>
      <w:r>
        <w:rPr/>
        <w:t>PRIMER.- APROVAR l’expedient de crèdit extraordinari número 6/2018, per import de 4.500,00 € que cal finançar mitjançant nous o majors ingressos efectivament recaptats sobre els totals previstos en el pressupost de la corporació, de conformitat amb el detall exposat a la part expositiva anterior.</w:t>
      </w:r>
    </w:p>
    <w:p>
      <w:pPr>
        <w:pStyle w:val="BodyText"/>
      </w:pPr>
    </w:p>
    <w:p>
      <w:pPr>
        <w:pStyle w:val="BodyText"/>
        <w:ind w:left="305" w:right="273"/>
        <w:jc w:val="both"/>
      </w:pPr>
      <w:r>
        <w:rPr/>
        <w:t>SEGON.- Exposar al públic aquest expedient, durant el termini reglamentari de quinze dies hàbils, mitjançant un edicte al tauler d’anuncis i al Butlletí Oficial de la Província. Si no es presenten reclamacions, l’acord serà ferm. En cas contrari, el Ple disposarà del termini d’un mes, comptat des de la finalització del període d’exposició pública, per resoldre-les.</w:t>
      </w:r>
    </w:p>
    <w:p>
      <w:pPr>
        <w:pStyle w:val="BodyText"/>
        <w:rPr>
          <w:sz w:val="24"/>
        </w:rPr>
      </w:pPr>
    </w:p>
    <w:p>
      <w:pPr>
        <w:pStyle w:val="BodyText"/>
        <w:spacing w:before="10"/>
        <w:rPr>
          <w:sz w:val="19"/>
        </w:rPr>
      </w:pPr>
    </w:p>
    <w:p>
      <w:pPr>
        <w:pStyle w:val="Heading1"/>
        <w:ind w:right="274"/>
      </w:pPr>
      <w:r>
        <w:rPr/>
        <w:t>10.-APROVACIÓ MODIFICACIÓ DE PRESSUPOST AJUNTAMENT NÚMERO 7/2018 MITJANÇANT CRÈDITS EXTRAORDINARIS</w:t>
      </w:r>
    </w:p>
    <w:p>
      <w:pPr>
        <w:pStyle w:val="BodyText"/>
        <w:spacing w:before="1"/>
        <w:rPr>
          <w:b/>
        </w:rPr>
      </w:pPr>
    </w:p>
    <w:p>
      <w:pPr>
        <w:pStyle w:val="BodyText"/>
        <w:spacing w:before="1"/>
        <w:ind w:left="6500" w:right="269" w:firstLine="1541"/>
        <w:jc w:val="both"/>
      </w:pPr>
      <w:r>
        <w:rPr/>
        <w:t>Òrgan: Ple Caràcter: Sessió Ordinària Data: 20 de juliol de 2018</w:t>
      </w:r>
    </w:p>
    <w:p>
      <w:pPr>
        <w:pStyle w:val="BodyText"/>
        <w:spacing w:line="252" w:lineRule="exact" w:before="1"/>
        <w:ind w:left="4064"/>
      </w:pPr>
      <w:r>
        <w:rPr/>
        <w:t>Expedient núm. 1627-000007-2018 (X2018000833)</w:t>
      </w:r>
    </w:p>
    <w:p>
      <w:pPr>
        <w:pStyle w:val="BodyText"/>
        <w:spacing w:line="252" w:lineRule="exact"/>
        <w:ind w:left="6879"/>
      </w:pPr>
      <w:r>
        <w:rPr/>
        <w:t>Aprovat per unanimitat</w:t>
      </w:r>
    </w:p>
    <w:p>
      <w:pPr>
        <w:pStyle w:val="BodyText"/>
        <w:rPr>
          <w:sz w:val="24"/>
        </w:rPr>
      </w:pPr>
    </w:p>
    <w:p>
      <w:pPr>
        <w:pStyle w:val="BodyText"/>
        <w:rPr>
          <w:sz w:val="20"/>
        </w:rPr>
      </w:pPr>
    </w:p>
    <w:p>
      <w:pPr>
        <w:pStyle w:val="BodyText"/>
        <w:ind w:left="305" w:right="274"/>
        <w:jc w:val="both"/>
      </w:pPr>
      <w:r>
        <w:rPr/>
        <w:t>Mitjançant Decret de l’Alcaldia de data 11 de juliol de 2018 s’inicia l’expedient per a l’aprovació de la modificació de crèdit mitjançant crèdits extraordinaris número 7/2018.</w:t>
      </w:r>
    </w:p>
    <w:p>
      <w:pPr>
        <w:pStyle w:val="BodyText"/>
      </w:pPr>
    </w:p>
    <w:p>
      <w:pPr>
        <w:pStyle w:val="BodyText"/>
        <w:ind w:left="305" w:right="274"/>
        <w:jc w:val="both"/>
      </w:pPr>
      <w:r>
        <w:rPr/>
        <w:t>Per poder atendre el pagament de les obligacions que es detallen a continuació, per a les quals no hi ha en el pressupost ordinari actual consignació pressupostària, s’ha de tramitar l’expedient de crèdits extraordinaris que cal finançat mitjançant baixa de partides de despesa que poden minorar-se, amb subjecció a les disposicions vigents.</w:t>
      </w:r>
    </w:p>
    <w:p>
      <w:pPr>
        <w:pStyle w:val="BodyText"/>
      </w:pPr>
    </w:p>
    <w:p>
      <w:pPr>
        <w:pStyle w:val="BodyText"/>
        <w:ind w:left="305"/>
        <w:jc w:val="both"/>
      </w:pPr>
      <w:r>
        <w:rPr/>
        <w:pict>
          <v:group style="position:absolute;margin-left:97.584pt;margin-top:29.877838pt;width:429.1pt;height:108.9pt;mso-position-horizontal-relative:page;mso-position-vertical-relative:paragraph;z-index:-52912" coordorigin="1952,598" coordsize="8582,2178">
            <v:shape style="position:absolute;left:1985;top:614;width:2742;height:507" coordorigin="1985,614" coordsize="2742,507" path="m4726,614l1985,614,1985,866,1985,1121,4726,1121,4726,866,4726,614e" filled="true" fillcolor="#dfdfdf" stroked="false">
              <v:path arrowok="t"/>
              <v:fill type="solid"/>
            </v:shape>
            <v:line style="position:absolute" from="1966,605" to="4743,605" stroked="true" strokeweight=".72003pt" strokecolor="#000000">
              <v:stroke dashstyle="solid"/>
            </v:line>
            <v:line style="position:absolute" from="1966,613" to="4743,613" stroked="true" strokeweight=".12pt" strokecolor="#dfdfdf">
              <v:stroke dashstyle="solid"/>
            </v:line>
            <v:line style="position:absolute" from="1959,598" to="1959,1150" stroked="true" strokeweight=".72pt" strokecolor="#000000">
              <v:stroke dashstyle="solid"/>
            </v:line>
            <v:shape style="position:absolute;left:4849;top:614;width:2775;height:507" coordorigin="4849,614" coordsize="2775,507" path="m7624,866l7607,866,7607,614,4866,614,4866,866,4849,866,4849,1121,7624,1121,7624,866e" filled="true" fillcolor="#dfdfdf" stroked="false">
              <v:path arrowok="t"/>
              <v:fill type="solid"/>
            </v:shape>
            <v:line style="position:absolute" from="4847,605" to="7624,605" stroked="true" strokeweight=".72003pt" strokecolor="#000000">
              <v:stroke dashstyle="solid"/>
            </v:line>
            <v:line style="position:absolute" from="4847,613" to="7624,613" stroked="true" strokeweight=".12pt" strokecolor="#dfdfdf">
              <v:stroke dashstyle="solid"/>
            </v:line>
            <v:line style="position:absolute" from="4839,598" to="4839,1150" stroked="true" strokeweight=".72pt" strokecolor="#000000">
              <v:stroke dashstyle="solid"/>
            </v:line>
            <v:line style="position:absolute" from="4758,598" to="4758,1150" stroked="true" strokeweight="1.44pt" strokecolor="#000000">
              <v:stroke dashstyle="solid"/>
            </v:line>
            <v:shape style="position:absolute;left:7729;top:614;width:2778;height:507" coordorigin="7729,614" coordsize="2778,507" path="m10507,866l10487,866,10487,614,7746,614,7746,866,7729,866,7729,1121,10507,1121,10507,866e" filled="true" fillcolor="#dfdfdf" stroked="false">
              <v:path arrowok="t"/>
              <v:fill type="solid"/>
            </v:shape>
            <v:line style="position:absolute" from="7727,605" to="10504,605" stroked="true" strokeweight=".72003pt" strokecolor="#000000">
              <v:stroke dashstyle="solid"/>
            </v:line>
            <v:line style="position:absolute" from="7727,613" to="10504,613" stroked="true" strokeweight=".12pt" strokecolor="#dfdfdf">
              <v:stroke dashstyle="solid"/>
            </v:line>
            <v:line style="position:absolute" from="7720,598" to="7720,1150" stroked="true" strokeweight=".72pt" strokecolor="#000000">
              <v:stroke dashstyle="solid"/>
            </v:line>
            <v:line style="position:absolute" from="7638,598" to="7638,1150" stroked="true" strokeweight="1.44pt" strokecolor="#000000">
              <v:stroke dashstyle="solid"/>
            </v:line>
            <v:line style="position:absolute" from="10519,598" to="10519,1150" stroked="true" strokeweight="1.44pt" strokecolor="#000000">
              <v:stroke dashstyle="solid"/>
            </v:line>
            <v:line style="position:absolute" from="1966,1135" to="4743,1135" stroked="true" strokeweight="1.44pt" strokecolor="#000000">
              <v:stroke dashstyle="solid"/>
            </v:line>
            <v:line style="position:absolute" from="1966,1217" to="4743,1217" stroked="true" strokeweight=".71997pt" strokecolor="#000000">
              <v:stroke dashstyle="solid"/>
            </v:line>
            <v:rect style="position:absolute;left:4846;top:1120;width:2778;height:29" filled="true" fillcolor="#000000" stroked="false">
              <v:fill type="solid"/>
            </v:rect>
            <v:line style="position:absolute" from="4847,1217" to="7624,1217" stroked="true" strokeweight=".71997pt" strokecolor="#000000">
              <v:stroke dashstyle="solid"/>
            </v:line>
            <v:rect style="position:absolute;left:7727;top:1120;width:2778;height:29" filled="true" fillcolor="#000000" stroked="false">
              <v:fill type="solid"/>
            </v:rect>
            <v:line style="position:absolute" from="7727,1217" to="10504,1217" stroked="true" strokeweight=".71997pt" strokecolor="#000000">
              <v:stroke dashstyle="solid"/>
            </v:line>
            <v:line style="position:absolute" from="1959,1210" to="1959,2775" stroked="true" strokeweight=".72pt" strokecolor="#000000">
              <v:stroke dashstyle="solid"/>
            </v:line>
            <v:line style="position:absolute" from="1966,2760" to="4743,2760" stroked="true" strokeweight="1.44pt" strokecolor="#000000">
              <v:stroke dashstyle="solid"/>
            </v:line>
            <v:line style="position:absolute" from="4839,1210" to="4839,2775" stroked="true" strokeweight=".72pt" strokecolor="#000000">
              <v:stroke dashstyle="solid"/>
            </v:line>
            <v:line style="position:absolute" from="4758,1210" to="4758,2775" stroked="true" strokeweight="1.44pt" strokecolor="#000000">
              <v:stroke dashstyle="solid"/>
            </v:line>
            <v:line style="position:absolute" from="4847,2760" to="7624,2760" stroked="true" strokeweight="1.44pt" strokecolor="#000000">
              <v:stroke dashstyle="solid"/>
            </v:line>
            <v:line style="position:absolute" from="7720,1210" to="7720,2775" stroked="true" strokeweight=".72pt" strokecolor="#000000">
              <v:stroke dashstyle="solid"/>
            </v:line>
            <v:line style="position:absolute" from="7638,1210" to="7638,2775" stroked="true" strokeweight="1.44pt" strokecolor="#000000">
              <v:stroke dashstyle="solid"/>
            </v:line>
            <v:line style="position:absolute" from="7727,2760" to="10504,2760" stroked="true" strokeweight="1.44pt" strokecolor="#000000">
              <v:stroke dashstyle="solid"/>
            </v:line>
            <v:line style="position:absolute" from="10519,1210" to="10519,2775" stroked="true" strokeweight="1.44pt" strokecolor="#000000">
              <v:stroke dashstyle="solid"/>
            </v:line>
            <w10:wrap type="none"/>
          </v:group>
        </w:pict>
      </w:r>
      <w:r>
        <w:rPr/>
        <w:t>Crèdits extraordinaris:</w:t>
      </w:r>
    </w:p>
    <w:p>
      <w:pPr>
        <w:pStyle w:val="BodyText"/>
        <w:spacing w:before="2" w:after="1"/>
      </w:pPr>
    </w:p>
    <w:tbl>
      <w:tblPr>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1"/>
        <w:gridCol w:w="82"/>
        <w:gridCol w:w="2799"/>
        <w:gridCol w:w="82"/>
        <w:gridCol w:w="2881"/>
      </w:tblGrid>
      <w:tr>
        <w:trPr>
          <w:trHeight w:val="329" w:hRule="atLeast"/>
        </w:trPr>
        <w:tc>
          <w:tcPr>
            <w:tcW w:w="2881" w:type="dxa"/>
            <w:tcBorders>
              <w:top w:val="single" w:sz="12" w:space="0" w:color="000000"/>
              <w:left w:val="single" w:sz="12" w:space="0" w:color="000000"/>
            </w:tcBorders>
          </w:tcPr>
          <w:p>
            <w:pPr>
              <w:pStyle w:val="TableParagraph"/>
              <w:spacing w:line="240" w:lineRule="auto"/>
              <w:ind w:left="0"/>
              <w:rPr>
                <w:rFonts w:ascii="Times New Roman"/>
                <w:sz w:val="20"/>
              </w:rPr>
            </w:pPr>
          </w:p>
        </w:tc>
        <w:tc>
          <w:tcPr>
            <w:tcW w:w="82" w:type="dxa"/>
            <w:tcBorders>
              <w:top w:val="single" w:sz="12" w:space="0" w:color="000000"/>
            </w:tcBorders>
          </w:tcPr>
          <w:p>
            <w:pPr>
              <w:pStyle w:val="TableParagraph"/>
              <w:spacing w:line="240" w:lineRule="auto"/>
              <w:ind w:left="0"/>
              <w:rPr>
                <w:rFonts w:ascii="Times New Roman"/>
                <w:sz w:val="20"/>
              </w:rPr>
            </w:pPr>
          </w:p>
        </w:tc>
        <w:tc>
          <w:tcPr>
            <w:tcW w:w="2799" w:type="dxa"/>
            <w:tcBorders>
              <w:top w:val="single" w:sz="12" w:space="0" w:color="000000"/>
            </w:tcBorders>
          </w:tcPr>
          <w:p>
            <w:pPr>
              <w:pStyle w:val="TableParagraph"/>
              <w:spacing w:line="236" w:lineRule="exact" w:before="74"/>
              <w:ind w:left="39"/>
              <w:rPr>
                <w:sz w:val="22"/>
              </w:rPr>
            </w:pPr>
            <w:r>
              <w:rPr>
                <w:sz w:val="22"/>
              </w:rPr>
              <w:t>Nom</w:t>
            </w:r>
          </w:p>
        </w:tc>
        <w:tc>
          <w:tcPr>
            <w:tcW w:w="82" w:type="dxa"/>
            <w:tcBorders>
              <w:top w:val="single" w:sz="12" w:space="0" w:color="000000"/>
            </w:tcBorders>
          </w:tcPr>
          <w:p>
            <w:pPr>
              <w:pStyle w:val="TableParagraph"/>
              <w:spacing w:line="240" w:lineRule="auto"/>
              <w:ind w:left="0"/>
              <w:rPr>
                <w:rFonts w:ascii="Times New Roman"/>
                <w:sz w:val="20"/>
              </w:rPr>
            </w:pPr>
          </w:p>
        </w:tc>
        <w:tc>
          <w:tcPr>
            <w:tcW w:w="2881" w:type="dxa"/>
            <w:tcBorders>
              <w:top w:val="single" w:sz="12" w:space="0" w:color="000000"/>
              <w:right w:val="single" w:sz="6" w:space="0" w:color="000000"/>
            </w:tcBorders>
          </w:tcPr>
          <w:p>
            <w:pPr>
              <w:pStyle w:val="TableParagraph"/>
              <w:spacing w:line="236" w:lineRule="exact" w:before="74"/>
              <w:ind w:left="39"/>
              <w:rPr>
                <w:sz w:val="22"/>
              </w:rPr>
            </w:pPr>
            <w:r>
              <w:rPr>
                <w:sz w:val="22"/>
              </w:rPr>
              <w:t>Proposta de Consignació</w:t>
            </w:r>
          </w:p>
        </w:tc>
      </w:tr>
      <w:tr>
        <w:trPr>
          <w:trHeight w:val="304" w:hRule="atLeast"/>
        </w:trPr>
        <w:tc>
          <w:tcPr>
            <w:tcW w:w="2881" w:type="dxa"/>
            <w:tcBorders>
              <w:left w:val="single" w:sz="12" w:space="0" w:color="000000"/>
            </w:tcBorders>
            <w:shd w:val="clear" w:color="auto" w:fill="DFDFDF"/>
          </w:tcPr>
          <w:p>
            <w:pPr>
              <w:pStyle w:val="TableParagraph"/>
              <w:spacing w:line="249" w:lineRule="exact"/>
              <w:rPr>
                <w:sz w:val="22"/>
              </w:rPr>
            </w:pPr>
            <w:r>
              <w:rPr>
                <w:sz w:val="22"/>
              </w:rPr>
              <w:t>Partida</w:t>
            </w:r>
          </w:p>
        </w:tc>
        <w:tc>
          <w:tcPr>
            <w:tcW w:w="82" w:type="dxa"/>
          </w:tcPr>
          <w:p>
            <w:pPr>
              <w:pStyle w:val="TableParagraph"/>
              <w:spacing w:line="240" w:lineRule="auto"/>
              <w:ind w:left="0"/>
              <w:rPr>
                <w:rFonts w:ascii="Times New Roman"/>
                <w:sz w:val="20"/>
              </w:rPr>
            </w:pPr>
          </w:p>
        </w:tc>
        <w:tc>
          <w:tcPr>
            <w:tcW w:w="2799" w:type="dxa"/>
            <w:shd w:val="clear" w:color="auto" w:fill="DFDFDF"/>
          </w:tcPr>
          <w:p>
            <w:pPr>
              <w:pStyle w:val="TableParagraph"/>
              <w:spacing w:line="240" w:lineRule="auto"/>
              <w:ind w:left="0"/>
              <w:rPr>
                <w:rFonts w:ascii="Times New Roman"/>
                <w:sz w:val="20"/>
              </w:rPr>
            </w:pPr>
          </w:p>
        </w:tc>
        <w:tc>
          <w:tcPr>
            <w:tcW w:w="82" w:type="dxa"/>
          </w:tcPr>
          <w:p>
            <w:pPr>
              <w:pStyle w:val="TableParagraph"/>
              <w:spacing w:line="240" w:lineRule="auto"/>
              <w:ind w:left="0"/>
              <w:rPr>
                <w:rFonts w:ascii="Times New Roman"/>
                <w:sz w:val="20"/>
              </w:rPr>
            </w:pPr>
          </w:p>
        </w:tc>
        <w:tc>
          <w:tcPr>
            <w:tcW w:w="2881" w:type="dxa"/>
            <w:tcBorders>
              <w:right w:val="single" w:sz="6" w:space="0" w:color="000000"/>
            </w:tcBorders>
            <w:shd w:val="clear" w:color="auto" w:fill="DFDFDF"/>
          </w:tcPr>
          <w:p>
            <w:pPr>
              <w:pStyle w:val="TableParagraph"/>
              <w:spacing w:line="240" w:lineRule="auto"/>
              <w:ind w:left="0"/>
              <w:rPr>
                <w:rFonts w:ascii="Times New Roman"/>
                <w:sz w:val="20"/>
              </w:rPr>
            </w:pPr>
          </w:p>
        </w:tc>
      </w:tr>
      <w:tr>
        <w:trPr>
          <w:trHeight w:val="1662" w:hRule="atLeast"/>
        </w:trPr>
        <w:tc>
          <w:tcPr>
            <w:tcW w:w="2881" w:type="dxa"/>
            <w:tcBorders>
              <w:left w:val="single" w:sz="12" w:space="0" w:color="000000"/>
              <w:bottom w:val="single" w:sz="6" w:space="0" w:color="000000"/>
            </w:tcBorders>
          </w:tcPr>
          <w:p>
            <w:pPr>
              <w:pStyle w:val="TableParagraph"/>
              <w:spacing w:line="240" w:lineRule="auto" w:before="5"/>
              <w:ind w:left="0"/>
              <w:rPr>
                <w:sz w:val="26"/>
              </w:rPr>
            </w:pPr>
          </w:p>
          <w:p>
            <w:pPr>
              <w:pStyle w:val="TableParagraph"/>
              <w:spacing w:line="240" w:lineRule="auto"/>
              <w:rPr>
                <w:sz w:val="22"/>
              </w:rPr>
            </w:pPr>
            <w:r>
              <w:rPr>
                <w:sz w:val="22"/>
              </w:rPr>
              <w:t>01.920.13000</w:t>
            </w:r>
          </w:p>
          <w:p>
            <w:pPr>
              <w:pStyle w:val="TableParagraph"/>
              <w:spacing w:line="240" w:lineRule="auto"/>
              <w:ind w:left="0"/>
              <w:rPr>
                <w:sz w:val="24"/>
              </w:rPr>
            </w:pPr>
          </w:p>
          <w:p>
            <w:pPr>
              <w:pStyle w:val="TableParagraph"/>
              <w:spacing w:line="240" w:lineRule="auto" w:before="11"/>
              <w:ind w:left="0"/>
              <w:rPr>
                <w:sz w:val="19"/>
              </w:rPr>
            </w:pPr>
          </w:p>
          <w:p>
            <w:pPr>
              <w:pStyle w:val="TableParagraph"/>
              <w:spacing w:line="240" w:lineRule="auto"/>
              <w:rPr>
                <w:sz w:val="22"/>
              </w:rPr>
            </w:pPr>
            <w:r>
              <w:rPr>
                <w:sz w:val="22"/>
              </w:rPr>
              <w:t>01.920.13001</w:t>
            </w:r>
          </w:p>
        </w:tc>
        <w:tc>
          <w:tcPr>
            <w:tcW w:w="82" w:type="dxa"/>
            <w:tcBorders>
              <w:bottom w:val="single" w:sz="6" w:space="0" w:color="000000"/>
            </w:tcBorders>
          </w:tcPr>
          <w:p>
            <w:pPr>
              <w:pStyle w:val="TableParagraph"/>
              <w:spacing w:line="240" w:lineRule="auto"/>
              <w:ind w:left="0"/>
              <w:rPr>
                <w:rFonts w:ascii="Times New Roman"/>
                <w:sz w:val="20"/>
              </w:rPr>
            </w:pPr>
          </w:p>
        </w:tc>
        <w:tc>
          <w:tcPr>
            <w:tcW w:w="2799" w:type="dxa"/>
            <w:tcBorders>
              <w:bottom w:val="single" w:sz="6" w:space="0" w:color="000000"/>
            </w:tcBorders>
          </w:tcPr>
          <w:p>
            <w:pPr>
              <w:pStyle w:val="TableParagraph"/>
              <w:spacing w:line="240" w:lineRule="auto" w:before="5"/>
              <w:ind w:left="0"/>
              <w:rPr>
                <w:sz w:val="26"/>
              </w:rPr>
            </w:pPr>
          </w:p>
          <w:p>
            <w:pPr>
              <w:pStyle w:val="TableParagraph"/>
              <w:spacing w:line="240" w:lineRule="auto"/>
              <w:ind w:left="39"/>
              <w:rPr>
                <w:sz w:val="22"/>
              </w:rPr>
            </w:pPr>
            <w:r>
              <w:rPr>
                <w:sz w:val="22"/>
              </w:rPr>
              <w:t>Bàsiques personal laboral temporal</w:t>
            </w:r>
          </w:p>
          <w:p>
            <w:pPr>
              <w:pStyle w:val="TableParagraph"/>
              <w:spacing w:line="240" w:lineRule="auto" w:before="11"/>
              <w:ind w:left="0"/>
              <w:rPr>
                <w:sz w:val="21"/>
              </w:rPr>
            </w:pPr>
          </w:p>
          <w:p>
            <w:pPr>
              <w:pStyle w:val="TableParagraph"/>
              <w:spacing w:line="240" w:lineRule="auto"/>
              <w:ind w:left="39"/>
              <w:rPr>
                <w:sz w:val="22"/>
              </w:rPr>
            </w:pPr>
            <w:r>
              <w:rPr>
                <w:sz w:val="22"/>
              </w:rPr>
              <w:t>Complementàries personal laboral</w:t>
            </w:r>
          </w:p>
        </w:tc>
        <w:tc>
          <w:tcPr>
            <w:tcW w:w="82" w:type="dxa"/>
            <w:tcBorders>
              <w:bottom w:val="single" w:sz="6" w:space="0" w:color="000000"/>
            </w:tcBorders>
          </w:tcPr>
          <w:p>
            <w:pPr>
              <w:pStyle w:val="TableParagraph"/>
              <w:spacing w:line="240" w:lineRule="auto"/>
              <w:ind w:left="0"/>
              <w:rPr>
                <w:rFonts w:ascii="Times New Roman"/>
                <w:sz w:val="20"/>
              </w:rPr>
            </w:pPr>
          </w:p>
        </w:tc>
        <w:tc>
          <w:tcPr>
            <w:tcW w:w="2881" w:type="dxa"/>
            <w:tcBorders>
              <w:bottom w:val="single" w:sz="6" w:space="0" w:color="000000"/>
              <w:right w:val="single" w:sz="6" w:space="0" w:color="000000"/>
            </w:tcBorders>
          </w:tcPr>
          <w:p>
            <w:pPr>
              <w:pStyle w:val="TableParagraph"/>
              <w:spacing w:line="240" w:lineRule="auto" w:before="5"/>
              <w:ind w:left="0"/>
              <w:rPr>
                <w:sz w:val="26"/>
              </w:rPr>
            </w:pPr>
          </w:p>
          <w:p>
            <w:pPr>
              <w:pStyle w:val="TableParagraph"/>
              <w:spacing w:line="240" w:lineRule="auto"/>
              <w:ind w:left="39"/>
              <w:rPr>
                <w:sz w:val="22"/>
              </w:rPr>
            </w:pPr>
            <w:r>
              <w:rPr>
                <w:sz w:val="22"/>
              </w:rPr>
              <w:t>2.862,84 €</w:t>
            </w:r>
          </w:p>
          <w:p>
            <w:pPr>
              <w:pStyle w:val="TableParagraph"/>
              <w:spacing w:line="240" w:lineRule="auto"/>
              <w:ind w:left="0"/>
              <w:rPr>
                <w:sz w:val="24"/>
              </w:rPr>
            </w:pPr>
          </w:p>
          <w:p>
            <w:pPr>
              <w:pStyle w:val="TableParagraph"/>
              <w:spacing w:line="240" w:lineRule="auto" w:before="11"/>
              <w:ind w:left="0"/>
              <w:rPr>
                <w:sz w:val="19"/>
              </w:rPr>
            </w:pPr>
          </w:p>
          <w:p>
            <w:pPr>
              <w:pStyle w:val="TableParagraph"/>
              <w:spacing w:line="240" w:lineRule="auto"/>
              <w:ind w:left="39"/>
              <w:rPr>
                <w:sz w:val="22"/>
              </w:rPr>
            </w:pPr>
            <w:r>
              <w:rPr>
                <w:sz w:val="22"/>
              </w:rPr>
              <w:t>1.473,12 €</w:t>
            </w:r>
          </w:p>
        </w:tc>
      </w:tr>
    </w:tbl>
    <w:p>
      <w:pPr>
        <w:spacing w:after="0" w:line="240" w:lineRule="auto"/>
        <w:rPr>
          <w:sz w:val="22"/>
        </w:rPr>
        <w:sectPr>
          <w:headerReference w:type="default" r:id="rId31"/>
          <w:footerReference w:type="default" r:id="rId32"/>
          <w:pgSz w:w="11910" w:h="16840"/>
          <w:pgMar w:header="766" w:footer="0"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1936"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rPr>
          <w:sz w:val="28"/>
        </w:rPr>
      </w:pPr>
    </w:p>
    <w:tbl>
      <w:tblPr>
        <w:tblW w:w="0" w:type="auto"/>
        <w:jc w:val="left"/>
        <w:tblInd w:w="1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881"/>
        <w:gridCol w:w="82"/>
        <w:gridCol w:w="2799"/>
        <w:gridCol w:w="82"/>
        <w:gridCol w:w="2881"/>
      </w:tblGrid>
      <w:tr>
        <w:trPr>
          <w:trHeight w:val="925" w:hRule="atLeast"/>
        </w:trPr>
        <w:tc>
          <w:tcPr>
            <w:tcW w:w="2881" w:type="dxa"/>
            <w:tcBorders>
              <w:bottom w:val="single" w:sz="6" w:space="0" w:color="000000"/>
            </w:tcBorders>
          </w:tcPr>
          <w:p>
            <w:pPr>
              <w:pStyle w:val="TableParagraph"/>
              <w:spacing w:line="240" w:lineRule="auto" w:before="3"/>
              <w:ind w:left="0"/>
              <w:rPr>
                <w:sz w:val="28"/>
              </w:rPr>
            </w:pPr>
          </w:p>
          <w:p>
            <w:pPr>
              <w:pStyle w:val="TableParagraph"/>
              <w:spacing w:line="240" w:lineRule="auto" w:before="1"/>
              <w:rPr>
                <w:sz w:val="22"/>
              </w:rPr>
            </w:pPr>
            <w:r>
              <w:rPr>
                <w:sz w:val="22"/>
              </w:rPr>
              <w:t>01.920.16000</w:t>
            </w:r>
          </w:p>
        </w:tc>
        <w:tc>
          <w:tcPr>
            <w:tcW w:w="82" w:type="dxa"/>
            <w:tcBorders>
              <w:bottom w:val="single" w:sz="6" w:space="0" w:color="000000"/>
              <w:right w:val="single" w:sz="6" w:space="0" w:color="000000"/>
            </w:tcBorders>
          </w:tcPr>
          <w:p>
            <w:pPr>
              <w:pStyle w:val="TableParagraph"/>
              <w:spacing w:line="240" w:lineRule="auto"/>
              <w:ind w:left="0"/>
              <w:rPr>
                <w:rFonts w:ascii="Times New Roman"/>
                <w:sz w:val="20"/>
              </w:rPr>
            </w:pPr>
          </w:p>
        </w:tc>
        <w:tc>
          <w:tcPr>
            <w:tcW w:w="2799" w:type="dxa"/>
            <w:tcBorders>
              <w:left w:val="single" w:sz="6" w:space="0" w:color="000000"/>
              <w:bottom w:val="single" w:sz="6" w:space="0" w:color="000000"/>
            </w:tcBorders>
          </w:tcPr>
          <w:p>
            <w:pPr>
              <w:pStyle w:val="TableParagraph"/>
              <w:spacing w:line="240" w:lineRule="auto" w:before="3"/>
              <w:ind w:left="0"/>
              <w:rPr>
                <w:sz w:val="28"/>
              </w:rPr>
            </w:pPr>
          </w:p>
          <w:p>
            <w:pPr>
              <w:pStyle w:val="TableParagraph"/>
              <w:spacing w:line="240" w:lineRule="auto" w:before="1"/>
              <w:ind w:left="32"/>
              <w:rPr>
                <w:sz w:val="22"/>
              </w:rPr>
            </w:pPr>
            <w:r>
              <w:rPr>
                <w:sz w:val="22"/>
              </w:rPr>
              <w:t>Seguretat Social personal laboral</w:t>
            </w:r>
          </w:p>
        </w:tc>
        <w:tc>
          <w:tcPr>
            <w:tcW w:w="82" w:type="dxa"/>
            <w:tcBorders>
              <w:bottom w:val="single" w:sz="6" w:space="0" w:color="000000"/>
              <w:right w:val="single" w:sz="6" w:space="0" w:color="000000"/>
            </w:tcBorders>
          </w:tcPr>
          <w:p>
            <w:pPr>
              <w:pStyle w:val="TableParagraph"/>
              <w:spacing w:line="240" w:lineRule="auto"/>
              <w:ind w:left="0"/>
              <w:rPr>
                <w:rFonts w:ascii="Times New Roman"/>
                <w:sz w:val="20"/>
              </w:rPr>
            </w:pPr>
          </w:p>
        </w:tc>
        <w:tc>
          <w:tcPr>
            <w:tcW w:w="2881" w:type="dxa"/>
            <w:tcBorders>
              <w:left w:val="single" w:sz="6" w:space="0" w:color="000000"/>
              <w:bottom w:val="single" w:sz="6" w:space="0" w:color="000000"/>
              <w:right w:val="single" w:sz="6" w:space="0" w:color="000000"/>
            </w:tcBorders>
          </w:tcPr>
          <w:p>
            <w:pPr>
              <w:pStyle w:val="TableParagraph"/>
              <w:spacing w:line="240" w:lineRule="auto" w:before="3"/>
              <w:ind w:left="0"/>
              <w:rPr>
                <w:sz w:val="28"/>
              </w:rPr>
            </w:pPr>
          </w:p>
          <w:p>
            <w:pPr>
              <w:pStyle w:val="TableParagraph"/>
              <w:spacing w:line="240" w:lineRule="auto" w:before="1"/>
              <w:ind w:left="31"/>
              <w:rPr>
                <w:sz w:val="22"/>
              </w:rPr>
            </w:pPr>
            <w:r>
              <w:rPr>
                <w:sz w:val="22"/>
              </w:rPr>
              <w:t>1.455,36 €</w:t>
            </w:r>
          </w:p>
        </w:tc>
      </w:tr>
    </w:tbl>
    <w:p>
      <w:pPr>
        <w:pStyle w:val="BodyText"/>
        <w:spacing w:before="2"/>
        <w:rPr>
          <w:sz w:val="17"/>
        </w:rPr>
      </w:pPr>
      <w:r>
        <w:rPr/>
        <w:pict>
          <v:group style="position:absolute;margin-left:93.143997pt;margin-top:12.6pt;width:437.25pt;height:23.2pt;mso-position-horizontal-relative:page;mso-position-vertical-relative:paragraph;z-index:1744;mso-wrap-distance-left:0;mso-wrap-distance-right:0" coordorigin="1863,252" coordsize="8745,464">
            <v:rect style="position:absolute;left:1862;top:252;width:104;height:29" filled="true" fillcolor="#000000" stroked="false">
              <v:fill type="solid"/>
            </v:rect>
            <v:line style="position:absolute" from="1966,266" to="6236,266" stroked="true" strokeweight="1.44pt" strokecolor="#000000">
              <v:stroke dashstyle="solid"/>
            </v:line>
            <v:rect style="position:absolute;left:6236;top:252;width:104;height:29" filled="true" fillcolor="#000000" stroked="false">
              <v:fill type="solid"/>
            </v:rect>
            <v:line style="position:absolute" from="6340,266" to="10504,266" stroked="true" strokeweight="1.44pt" strokecolor="#000000">
              <v:stroke dashstyle="solid"/>
            </v:line>
            <v:rect style="position:absolute;left:10504;top:252;width:104;height:29" filled="true" fillcolor="#000000" stroked="false">
              <v:fill type="solid"/>
            </v:rect>
            <v:line style="position:absolute" from="1877,252" to="1877,715" stroked="true" strokeweight="1.44pt" strokecolor="#000000">
              <v:stroke dashstyle="solid"/>
            </v:line>
            <v:rect style="position:absolute;left:1862;top:686;width:104;height:29" filled="true" fillcolor="#000000" stroked="false">
              <v:fill type="solid"/>
            </v:rect>
            <v:line style="position:absolute" from="1966,701" to="6236,701" stroked="true" strokeweight="1.44pt" strokecolor="#000000">
              <v:stroke dashstyle="solid"/>
            </v:line>
            <v:rect style="position:absolute;left:6221;top:686;width:104;height:29" filled="true" fillcolor="#000000" stroked="false">
              <v:fill type="solid"/>
            </v:rect>
            <v:line style="position:absolute" from="6325,701" to="10504,701" stroked="true" strokeweight="1.44pt" strokecolor="#000000">
              <v:stroke dashstyle="solid"/>
            </v:line>
            <v:line style="position:absolute" from="10593,252" to="10593,715" stroked="true" strokeweight="1.44pt" strokecolor="#000000">
              <v:stroke dashstyle="solid"/>
            </v:line>
            <v:rect style="position:absolute;left:10504;top:686;width:104;height:29" filled="true" fillcolor="#000000" stroked="false">
              <v:fill type="solid"/>
            </v:rect>
            <v:shape style="position:absolute;left:1958;top:348;width:8553;height:272" type="#_x0000_t202" filled="true" fillcolor="#dfdfdf" stroked="true" strokeweight=".71997pt" strokecolor="#000000">
              <v:textbox inset="0,0,0,0">
                <w:txbxContent>
                  <w:p>
                    <w:pPr>
                      <w:spacing w:before="0"/>
                      <w:ind w:left="19" w:right="0" w:firstLine="0"/>
                      <w:jc w:val="left"/>
                      <w:rPr>
                        <w:sz w:val="22"/>
                      </w:rPr>
                    </w:pPr>
                    <w:r>
                      <w:rPr>
                        <w:sz w:val="22"/>
                      </w:rPr>
                      <w:t>Total altes crèdits : 5.791,32 €</w:t>
                    </w:r>
                  </w:p>
                </w:txbxContent>
              </v:textbox>
              <v:fill type="solid"/>
              <v:stroke dashstyle="solid"/>
              <w10:wrap type="none"/>
            </v:shape>
            <w10:wrap type="topAndBottom"/>
          </v:group>
        </w:pict>
      </w:r>
    </w:p>
    <w:p>
      <w:pPr>
        <w:pStyle w:val="BodyText"/>
        <w:spacing w:before="8"/>
        <w:rPr>
          <w:sz w:val="9"/>
        </w:rPr>
      </w:pPr>
    </w:p>
    <w:p>
      <w:pPr>
        <w:pStyle w:val="BodyText"/>
        <w:spacing w:before="94"/>
        <w:ind w:left="305"/>
      </w:pPr>
      <w:r>
        <w:rPr/>
        <w:pict>
          <v:group style="position:absolute;margin-left:97.584pt;margin-top:-87.58213pt;width:139.6pt;height:40.35pt;mso-position-horizontal-relative:page;mso-position-vertical-relative:paragraph;z-index:-52768" coordorigin="1952,-1752" coordsize="2792,807">
            <v:line style="position:absolute" from="1966,-1744" to="4743,-1744" stroked="true" strokeweight=".72pt" strokecolor="#000000">
              <v:stroke dashstyle="solid"/>
            </v:line>
            <v:line style="position:absolute" from="1959,-1752" to="1959,-945" stroked="true" strokeweight=".72pt" strokecolor="#000000">
              <v:stroke dashstyle="solid"/>
            </v:line>
            <v:line style="position:absolute" from="1966,-960" to="4743,-960" stroked="true" strokeweight="1.44pt" strokecolor="#000000">
              <v:stroke dashstyle="solid"/>
            </v:line>
            <w10:wrap type="none"/>
          </v:group>
        </w:pict>
      </w:r>
      <w:r>
        <w:rPr/>
        <w:pict>
          <v:line style="position:absolute;mso-position-horizontal-relative:page;mso-position-vertical-relative:paragraph;z-index:-52744" from="242.330002pt,-87.222122pt" to="381.190002pt,-87.222122pt" stroked="true" strokeweight=".72pt" strokecolor="#000000">
            <v:stroke dashstyle="solid"/>
            <w10:wrap type="none"/>
          </v:line>
        </w:pict>
      </w:r>
      <w:r>
        <w:rPr/>
        <w:pict>
          <v:group style="position:absolute;margin-left:386.350006pt;margin-top:-87.58213pt;width:140.35pt;height:40.35pt;mso-position-horizontal-relative:page;mso-position-vertical-relative:paragraph;z-index:-52720" coordorigin="7727,-1752" coordsize="2807,807">
            <v:line style="position:absolute" from="7727,-1744" to="10504,-1744" stroked="true" strokeweight=".72pt" strokecolor="#000000">
              <v:stroke dashstyle="solid"/>
            </v:line>
            <v:line style="position:absolute" from="7727,-960" to="10504,-960" stroked="true" strokeweight="1.44pt" strokecolor="#000000">
              <v:stroke dashstyle="solid"/>
            </v:line>
            <v:line style="position:absolute" from="10519,-1752" to="10519,-945" stroked="true" strokeweight="1.44pt" strokecolor="#000000">
              <v:stroke dashstyle="solid"/>
            </v:line>
            <w10:wrap type="none"/>
          </v:group>
        </w:pict>
      </w:r>
      <w:r>
        <w:rPr/>
        <w:pict>
          <v:line style="position:absolute;mso-position-horizontal-relative:page;mso-position-vertical-relative:paragraph;z-index:-52696" from="242.330002pt,-47.982121pt" to="381.190002pt,-47.982121pt" stroked="true" strokeweight="1.44pt" strokecolor="#000000">
            <v:stroke dashstyle="solid"/>
            <w10:wrap type="none"/>
          </v:line>
        </w:pict>
      </w:r>
      <w:r>
        <w:rPr/>
        <w:pict>
          <v:group style="position:absolute;margin-left:97.584pt;margin-top:34.60788pt;width:354.95pt;height:58.2pt;mso-position-horizontal-relative:page;mso-position-vertical-relative:paragraph;z-index:-52672" coordorigin="1952,692" coordsize="7099,1164">
            <v:shape style="position:absolute;left:1968;top:708;width:1623;height:507" coordorigin="1968,709" coordsize="1623,507" path="m3591,709l3574,709,1985,709,1968,709,1968,1215,1985,1215,3574,1215,3591,1215,3591,709e" filled="true" fillcolor="#dfdfdf" stroked="false">
              <v:path arrowok="t"/>
              <v:fill type="solid"/>
            </v:shape>
            <v:line style="position:absolute" from="1966,699" to="3591,699" stroked="true" strokeweight=".72pt" strokecolor="#000000">
              <v:stroke dashstyle="solid"/>
            </v:line>
            <v:line style="position:absolute" from="1966,708" to="3591,708" stroked="true" strokeweight=".12pt" strokecolor="#dfdfdf">
              <v:stroke dashstyle="solid"/>
            </v:line>
            <v:line style="position:absolute" from="1959,692" to="1959,1244" stroked="true" strokeweight=".72pt" strokecolor="#000000">
              <v:stroke dashstyle="solid"/>
            </v:line>
            <v:shape style="position:absolute;left:3696;top:708;width:2634;height:507" coordorigin="3696,709" coordsize="2634,507" path="m6330,961l6311,961,6311,709,3713,709,3713,961,3696,961,3696,1215,6330,1215,6330,961e" filled="true" fillcolor="#dfdfdf" stroked="false">
              <v:path arrowok="t"/>
              <v:fill type="solid"/>
            </v:shape>
            <v:line style="position:absolute" from="3694,699" to="6328,699" stroked="true" strokeweight=".72pt" strokecolor="#000000">
              <v:stroke dashstyle="solid"/>
            </v:line>
            <v:line style="position:absolute" from="3694,708" to="6328,708" stroked="true" strokeweight=".12pt" strokecolor="#dfdfdf">
              <v:stroke dashstyle="solid"/>
            </v:line>
            <v:line style="position:absolute" from="3687,692" to="3687,1244" stroked="true" strokeweight=".71999pt" strokecolor="#000000">
              <v:stroke dashstyle="solid"/>
            </v:line>
            <v:line style="position:absolute" from="3605,692" to="3605,1244" stroked="true" strokeweight="1.44pt" strokecolor="#000000">
              <v:stroke dashstyle="solid"/>
            </v:line>
            <v:shape style="position:absolute;left:6433;top:708;width:2590;height:507" coordorigin="6433,709" coordsize="2590,507" path="m9023,961l9004,961,9004,709,6453,709,6453,961,6433,961,6433,1215,9023,1215,9023,961e" filled="true" fillcolor="#dfdfdf" stroked="false">
              <v:path arrowok="t"/>
              <v:fill type="solid"/>
            </v:shape>
            <v:line style="position:absolute" from="6431,699" to="9021,699" stroked="true" strokeweight=".72pt" strokecolor="#000000">
              <v:stroke dashstyle="solid"/>
            </v:line>
            <v:line style="position:absolute" from="6431,708" to="9021,708" stroked="true" strokeweight=".12pt" strokecolor="#dfdfdf">
              <v:stroke dashstyle="solid"/>
            </v:line>
            <v:line style="position:absolute" from="6424,692" to="6424,1244" stroked="true" strokeweight=".72pt" strokecolor="#000000">
              <v:stroke dashstyle="solid"/>
            </v:line>
            <v:line style="position:absolute" from="6342,692" to="6342,1244" stroked="true" strokeweight="1.44pt" strokecolor="#000000">
              <v:stroke dashstyle="solid"/>
            </v:line>
            <v:line style="position:absolute" from="9036,692" to="9036,1244" stroked="true" strokeweight="1.44pt" strokecolor="#000000">
              <v:stroke dashstyle="solid"/>
            </v:line>
            <v:rect style="position:absolute;left:1966;top:1215;width:1625;height:29" filled="true" fillcolor="#000000" stroked="false">
              <v:fill type="solid"/>
            </v:rect>
            <v:line style="position:absolute" from="1966,1311" to="3591,1311" stroked="true" strokeweight=".72pt" strokecolor="#000000">
              <v:stroke dashstyle="solid"/>
            </v:line>
            <v:rect style="position:absolute;left:3694;top:1215;width:2634;height:29" filled="true" fillcolor="#000000" stroked="false">
              <v:fill type="solid"/>
            </v:rect>
            <v:line style="position:absolute" from="3694,1311" to="6328,1311" stroked="true" strokeweight=".72pt" strokecolor="#000000">
              <v:stroke dashstyle="solid"/>
            </v:line>
            <v:rect style="position:absolute;left:6431;top:1215;width:2590;height:29" filled="true" fillcolor="#000000" stroked="false">
              <v:fill type="solid"/>
            </v:rect>
            <v:line style="position:absolute" from="6431,1311" to="9021,1311" stroked="true" strokeweight=".72pt" strokecolor="#000000">
              <v:stroke dashstyle="solid"/>
            </v:line>
            <v:line style="position:absolute" from="1959,1304" to="1959,1856" stroked="true" strokeweight=".72pt" strokecolor="#000000">
              <v:stroke dashstyle="solid"/>
            </v:line>
            <v:line style="position:absolute" from="1966,1842" to="3591,1842" stroked="true" strokeweight="1.44pt" strokecolor="#000000">
              <v:stroke dashstyle="solid"/>
            </v:line>
            <v:line style="position:absolute" from="3687,1304" to="3687,1856" stroked="true" strokeweight=".71999pt" strokecolor="#000000">
              <v:stroke dashstyle="solid"/>
            </v:line>
            <v:line style="position:absolute" from="3605,1304" to="3605,1856" stroked="true" strokeweight="1.44pt" strokecolor="#000000">
              <v:stroke dashstyle="solid"/>
            </v:line>
            <v:line style="position:absolute" from="3694,1842" to="6328,1842" stroked="true" strokeweight="1.44pt" strokecolor="#000000">
              <v:stroke dashstyle="solid"/>
            </v:line>
            <v:line style="position:absolute" from="6424,1304" to="6424,1856" stroked="true" strokeweight=".72pt" strokecolor="#000000">
              <v:stroke dashstyle="solid"/>
            </v:line>
            <v:line style="position:absolute" from="6342,1304" to="6342,1856" stroked="true" strokeweight="1.44pt" strokecolor="#000000">
              <v:stroke dashstyle="solid"/>
            </v:line>
            <v:line style="position:absolute" from="6431,1842" to="9021,1842" stroked="true" strokeweight="1.44pt" strokecolor="#000000">
              <v:stroke dashstyle="solid"/>
            </v:line>
            <v:line style="position:absolute" from="9036,1304" to="9036,1856" stroked="true" strokeweight="1.44pt" strokecolor="#000000">
              <v:stroke dashstyle="solid"/>
            </v:line>
            <w10:wrap type="none"/>
          </v:group>
        </w:pict>
      </w:r>
      <w:r>
        <w:rPr/>
        <w:t>Partides de despeses que es disminueixen:</w:t>
      </w:r>
    </w:p>
    <w:p>
      <w:pPr>
        <w:pStyle w:val="BodyText"/>
        <w:spacing w:before="3"/>
      </w:pPr>
    </w:p>
    <w:tbl>
      <w:tblPr>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28"/>
        <w:gridCol w:w="82"/>
        <w:gridCol w:w="2656"/>
        <w:gridCol w:w="82"/>
        <w:gridCol w:w="2694"/>
      </w:tblGrid>
      <w:tr>
        <w:trPr>
          <w:trHeight w:val="329" w:hRule="atLeast"/>
        </w:trPr>
        <w:tc>
          <w:tcPr>
            <w:tcW w:w="1728" w:type="dxa"/>
            <w:tcBorders>
              <w:top w:val="single" w:sz="12" w:space="0" w:color="000000"/>
              <w:left w:val="single" w:sz="12" w:space="0" w:color="000000"/>
            </w:tcBorders>
          </w:tcPr>
          <w:p>
            <w:pPr>
              <w:pStyle w:val="TableParagraph"/>
              <w:spacing w:line="240" w:lineRule="auto"/>
              <w:ind w:left="0"/>
              <w:rPr>
                <w:rFonts w:ascii="Times New Roman"/>
                <w:sz w:val="20"/>
              </w:rPr>
            </w:pPr>
          </w:p>
        </w:tc>
        <w:tc>
          <w:tcPr>
            <w:tcW w:w="82" w:type="dxa"/>
            <w:tcBorders>
              <w:top w:val="single" w:sz="12" w:space="0" w:color="000000"/>
            </w:tcBorders>
          </w:tcPr>
          <w:p>
            <w:pPr>
              <w:pStyle w:val="TableParagraph"/>
              <w:spacing w:line="240" w:lineRule="auto"/>
              <w:ind w:left="0"/>
              <w:rPr>
                <w:rFonts w:ascii="Times New Roman"/>
                <w:sz w:val="20"/>
              </w:rPr>
            </w:pPr>
          </w:p>
        </w:tc>
        <w:tc>
          <w:tcPr>
            <w:tcW w:w="2656" w:type="dxa"/>
            <w:tcBorders>
              <w:top w:val="single" w:sz="12" w:space="0" w:color="000000"/>
            </w:tcBorders>
          </w:tcPr>
          <w:p>
            <w:pPr>
              <w:pStyle w:val="TableParagraph"/>
              <w:spacing w:line="236" w:lineRule="exact" w:before="74"/>
              <w:ind w:left="40"/>
              <w:rPr>
                <w:sz w:val="22"/>
              </w:rPr>
            </w:pPr>
            <w:r>
              <w:rPr>
                <w:sz w:val="22"/>
              </w:rPr>
              <w:t>Nom</w:t>
            </w:r>
          </w:p>
        </w:tc>
        <w:tc>
          <w:tcPr>
            <w:tcW w:w="82" w:type="dxa"/>
            <w:tcBorders>
              <w:top w:val="single" w:sz="12" w:space="0" w:color="000000"/>
            </w:tcBorders>
          </w:tcPr>
          <w:p>
            <w:pPr>
              <w:pStyle w:val="TableParagraph"/>
              <w:spacing w:line="240" w:lineRule="auto"/>
              <w:ind w:left="0"/>
              <w:rPr>
                <w:rFonts w:ascii="Times New Roman"/>
                <w:sz w:val="20"/>
              </w:rPr>
            </w:pPr>
          </w:p>
        </w:tc>
        <w:tc>
          <w:tcPr>
            <w:tcW w:w="2694" w:type="dxa"/>
            <w:tcBorders>
              <w:top w:val="single" w:sz="12" w:space="0" w:color="000000"/>
              <w:right w:val="single" w:sz="6" w:space="0" w:color="000000"/>
            </w:tcBorders>
          </w:tcPr>
          <w:p>
            <w:pPr>
              <w:pStyle w:val="TableParagraph"/>
              <w:spacing w:line="236" w:lineRule="exact" w:before="74"/>
              <w:ind w:left="41"/>
              <w:rPr>
                <w:sz w:val="22"/>
              </w:rPr>
            </w:pPr>
            <w:r>
              <w:rPr>
                <w:sz w:val="22"/>
              </w:rPr>
              <w:t>Proposta de Consignació</w:t>
            </w:r>
          </w:p>
        </w:tc>
      </w:tr>
      <w:tr>
        <w:trPr>
          <w:trHeight w:val="304" w:hRule="atLeast"/>
        </w:trPr>
        <w:tc>
          <w:tcPr>
            <w:tcW w:w="1728" w:type="dxa"/>
            <w:tcBorders>
              <w:left w:val="single" w:sz="12" w:space="0" w:color="000000"/>
            </w:tcBorders>
            <w:shd w:val="clear" w:color="auto" w:fill="DFDFDF"/>
          </w:tcPr>
          <w:p>
            <w:pPr>
              <w:pStyle w:val="TableParagraph"/>
              <w:spacing w:line="249" w:lineRule="exact"/>
              <w:rPr>
                <w:sz w:val="22"/>
              </w:rPr>
            </w:pPr>
            <w:r>
              <w:rPr>
                <w:sz w:val="22"/>
              </w:rPr>
              <w:t>Partida</w:t>
            </w:r>
          </w:p>
        </w:tc>
        <w:tc>
          <w:tcPr>
            <w:tcW w:w="82" w:type="dxa"/>
          </w:tcPr>
          <w:p>
            <w:pPr>
              <w:pStyle w:val="TableParagraph"/>
              <w:spacing w:line="240" w:lineRule="auto"/>
              <w:ind w:left="0"/>
              <w:rPr>
                <w:rFonts w:ascii="Times New Roman"/>
                <w:sz w:val="20"/>
              </w:rPr>
            </w:pPr>
          </w:p>
        </w:tc>
        <w:tc>
          <w:tcPr>
            <w:tcW w:w="2656" w:type="dxa"/>
            <w:shd w:val="clear" w:color="auto" w:fill="DFDFDF"/>
          </w:tcPr>
          <w:p>
            <w:pPr>
              <w:pStyle w:val="TableParagraph"/>
              <w:spacing w:line="240" w:lineRule="auto"/>
              <w:ind w:left="0"/>
              <w:rPr>
                <w:rFonts w:ascii="Times New Roman"/>
                <w:sz w:val="20"/>
              </w:rPr>
            </w:pPr>
          </w:p>
        </w:tc>
        <w:tc>
          <w:tcPr>
            <w:tcW w:w="82" w:type="dxa"/>
          </w:tcPr>
          <w:p>
            <w:pPr>
              <w:pStyle w:val="TableParagraph"/>
              <w:spacing w:line="240" w:lineRule="auto"/>
              <w:ind w:left="0"/>
              <w:rPr>
                <w:rFonts w:ascii="Times New Roman"/>
                <w:sz w:val="20"/>
              </w:rPr>
            </w:pPr>
          </w:p>
        </w:tc>
        <w:tc>
          <w:tcPr>
            <w:tcW w:w="2694" w:type="dxa"/>
            <w:tcBorders>
              <w:right w:val="single" w:sz="6" w:space="0" w:color="000000"/>
            </w:tcBorders>
            <w:shd w:val="clear" w:color="auto" w:fill="DFDFDF"/>
          </w:tcPr>
          <w:p>
            <w:pPr>
              <w:pStyle w:val="TableParagraph"/>
              <w:spacing w:line="240" w:lineRule="auto"/>
              <w:ind w:left="0"/>
              <w:rPr>
                <w:rFonts w:ascii="Times New Roman"/>
                <w:sz w:val="20"/>
              </w:rPr>
            </w:pPr>
          </w:p>
        </w:tc>
      </w:tr>
      <w:tr>
        <w:trPr>
          <w:trHeight w:val="648" w:hRule="atLeast"/>
        </w:trPr>
        <w:tc>
          <w:tcPr>
            <w:tcW w:w="1728" w:type="dxa"/>
            <w:tcBorders>
              <w:left w:val="single" w:sz="12" w:space="0" w:color="000000"/>
              <w:bottom w:val="single" w:sz="6" w:space="0" w:color="000000"/>
            </w:tcBorders>
          </w:tcPr>
          <w:p>
            <w:pPr>
              <w:pStyle w:val="TableParagraph"/>
              <w:spacing w:line="240" w:lineRule="auto" w:before="49"/>
              <w:rPr>
                <w:sz w:val="22"/>
              </w:rPr>
            </w:pPr>
            <w:r>
              <w:rPr>
                <w:sz w:val="22"/>
              </w:rPr>
              <w:t>01 931 50000</w:t>
            </w:r>
          </w:p>
        </w:tc>
        <w:tc>
          <w:tcPr>
            <w:tcW w:w="82" w:type="dxa"/>
            <w:tcBorders>
              <w:bottom w:val="single" w:sz="6" w:space="0" w:color="000000"/>
            </w:tcBorders>
          </w:tcPr>
          <w:p>
            <w:pPr>
              <w:pStyle w:val="TableParagraph"/>
              <w:spacing w:line="240" w:lineRule="auto"/>
              <w:ind w:left="0"/>
              <w:rPr>
                <w:rFonts w:ascii="Times New Roman"/>
                <w:sz w:val="20"/>
              </w:rPr>
            </w:pPr>
          </w:p>
        </w:tc>
        <w:tc>
          <w:tcPr>
            <w:tcW w:w="2656" w:type="dxa"/>
            <w:tcBorders>
              <w:bottom w:val="single" w:sz="6" w:space="0" w:color="000000"/>
            </w:tcBorders>
          </w:tcPr>
          <w:p>
            <w:pPr>
              <w:pStyle w:val="TableParagraph"/>
              <w:spacing w:line="240" w:lineRule="auto" w:before="49"/>
              <w:ind w:left="40"/>
              <w:rPr>
                <w:sz w:val="22"/>
              </w:rPr>
            </w:pPr>
            <w:r>
              <w:rPr>
                <w:sz w:val="22"/>
              </w:rPr>
              <w:t>Fons de contingència</w:t>
            </w:r>
          </w:p>
        </w:tc>
        <w:tc>
          <w:tcPr>
            <w:tcW w:w="82" w:type="dxa"/>
            <w:tcBorders>
              <w:bottom w:val="single" w:sz="6" w:space="0" w:color="000000"/>
            </w:tcBorders>
          </w:tcPr>
          <w:p>
            <w:pPr>
              <w:pStyle w:val="TableParagraph"/>
              <w:spacing w:line="240" w:lineRule="auto"/>
              <w:ind w:left="0"/>
              <w:rPr>
                <w:rFonts w:ascii="Times New Roman"/>
                <w:sz w:val="20"/>
              </w:rPr>
            </w:pPr>
          </w:p>
        </w:tc>
        <w:tc>
          <w:tcPr>
            <w:tcW w:w="2694" w:type="dxa"/>
            <w:tcBorders>
              <w:bottom w:val="single" w:sz="6" w:space="0" w:color="000000"/>
              <w:right w:val="single" w:sz="6" w:space="0" w:color="000000"/>
            </w:tcBorders>
          </w:tcPr>
          <w:p>
            <w:pPr>
              <w:pStyle w:val="TableParagraph"/>
              <w:spacing w:line="240" w:lineRule="auto" w:before="49"/>
              <w:ind w:left="41"/>
              <w:rPr>
                <w:sz w:val="22"/>
              </w:rPr>
            </w:pPr>
            <w:r>
              <w:rPr>
                <w:sz w:val="22"/>
              </w:rPr>
              <w:t>5.791,32 €</w:t>
            </w:r>
          </w:p>
        </w:tc>
      </w:tr>
    </w:tbl>
    <w:p>
      <w:pPr>
        <w:pStyle w:val="BodyText"/>
        <w:spacing w:before="2"/>
        <w:rPr>
          <w:sz w:val="17"/>
        </w:rPr>
      </w:pPr>
      <w:r>
        <w:rPr/>
        <w:pict>
          <v:group style="position:absolute;margin-left:93.143997pt;margin-top:12.6pt;width:437.25pt;height:23.2pt;mso-position-horizontal-relative:page;mso-position-vertical-relative:paragraph;z-index:1792;mso-wrap-distance-left:0;mso-wrap-distance-right:0" coordorigin="1863,252" coordsize="8745,464">
            <v:rect style="position:absolute;left:1862;top:252;width:104;height:29" filled="true" fillcolor="#000000" stroked="false">
              <v:fill type="solid"/>
            </v:rect>
            <v:line style="position:absolute" from="1966,266" to="6236,266" stroked="true" strokeweight="1.44pt" strokecolor="#000000">
              <v:stroke dashstyle="solid"/>
            </v:line>
            <v:rect style="position:absolute;left:6236;top:252;width:104;height:29" filled="true" fillcolor="#000000" stroked="false">
              <v:fill type="solid"/>
            </v:rect>
            <v:line style="position:absolute" from="6340,266" to="10504,266" stroked="true" strokeweight="1.44pt" strokecolor="#000000">
              <v:stroke dashstyle="solid"/>
            </v:line>
            <v:rect style="position:absolute;left:10504;top:252;width:104;height:29" filled="true" fillcolor="#000000" stroked="false">
              <v:fill type="solid"/>
            </v:rect>
            <v:line style="position:absolute" from="1877,252" to="1877,715" stroked="true" strokeweight="1.44pt" strokecolor="#000000">
              <v:stroke dashstyle="solid"/>
            </v:line>
            <v:rect style="position:absolute;left:1862;top:686;width:104;height:29" filled="true" fillcolor="#000000" stroked="false">
              <v:fill type="solid"/>
            </v:rect>
            <v:line style="position:absolute" from="1966,701" to="6236,701" stroked="true" strokeweight="1.44pt" strokecolor="#000000">
              <v:stroke dashstyle="solid"/>
            </v:line>
            <v:rect style="position:absolute;left:6221;top:686;width:104;height:29" filled="true" fillcolor="#000000" stroked="false">
              <v:fill type="solid"/>
            </v:rect>
            <v:line style="position:absolute" from="6325,701" to="10504,701" stroked="true" strokeweight="1.44pt" strokecolor="#000000">
              <v:stroke dashstyle="solid"/>
            </v:line>
            <v:line style="position:absolute" from="10593,252" to="10593,715" stroked="true" strokeweight="1.44pt" strokecolor="#000000">
              <v:stroke dashstyle="solid"/>
            </v:line>
            <v:rect style="position:absolute;left:10504;top:686;width:104;height:29" filled="true" fillcolor="#000000" stroked="false">
              <v:fill type="solid"/>
            </v:rect>
            <v:shape style="position:absolute;left:1958;top:348;width:8553;height:272" type="#_x0000_t202" filled="true" fillcolor="#dfdfdf" stroked="true" strokeweight=".71997pt" strokecolor="#000000">
              <v:textbox inset="0,0,0,0">
                <w:txbxContent>
                  <w:p>
                    <w:pPr>
                      <w:spacing w:before="0"/>
                      <w:ind w:left="19" w:right="0" w:firstLine="0"/>
                      <w:jc w:val="left"/>
                      <w:rPr>
                        <w:sz w:val="22"/>
                      </w:rPr>
                    </w:pPr>
                    <w:r>
                      <w:rPr>
                        <w:sz w:val="22"/>
                      </w:rPr>
                      <w:t>Total finançament5.5.791,32 €</w:t>
                    </w:r>
                  </w:p>
                </w:txbxContent>
              </v:textbox>
              <v:fill type="solid"/>
              <v:stroke dashstyle="solid"/>
              <w10:wrap type="none"/>
            </v:shape>
            <w10:wrap type="topAndBottom"/>
          </v:group>
        </w:pict>
      </w:r>
    </w:p>
    <w:p>
      <w:pPr>
        <w:pStyle w:val="BodyText"/>
        <w:spacing w:before="208"/>
        <w:ind w:left="305" w:right="273"/>
        <w:jc w:val="both"/>
      </w:pPr>
      <w:r>
        <w:rPr/>
        <w:t>Les esmentades despeses són necessàries per a la contractació d´una persona per acabar els treballs d´actualització de la web de l´Ajuntament i la creació d´una web amb tots els requeriments de transparència que marca la legislació actualment vigent, per a l´organisme autònom Llar d´Infants El Molí Petit.</w:t>
      </w:r>
    </w:p>
    <w:p>
      <w:pPr>
        <w:pStyle w:val="BodyText"/>
      </w:pPr>
    </w:p>
    <w:p>
      <w:pPr>
        <w:pStyle w:val="BodyText"/>
        <w:ind w:left="305"/>
      </w:pPr>
      <w:r>
        <w:rPr/>
        <w:t>Atès que la Secretària-Interventora ha emès els corresponents informes favorables.</w:t>
      </w:r>
    </w:p>
    <w:p>
      <w:pPr>
        <w:pStyle w:val="BodyText"/>
      </w:pPr>
    </w:p>
    <w:p>
      <w:pPr>
        <w:pStyle w:val="BodyText"/>
        <w:ind w:left="305" w:right="272"/>
        <w:jc w:val="both"/>
      </w:pPr>
      <w:r>
        <w:rPr/>
        <w:t>Atès el que estableixen els articles 177 del Reial decret legislatiu 2/2004, de 5 de març, pel qual s’aprova el Text refós de la Llei reguladora de les hisendes locals, articles 34 a 38 del RD 500/1990 i article 11 de les bases d´execució del</w:t>
      </w:r>
      <w:r>
        <w:rPr>
          <w:spacing w:val="-13"/>
        </w:rPr>
        <w:t> </w:t>
      </w:r>
      <w:r>
        <w:rPr/>
        <w:t>pressupost.</w:t>
      </w:r>
    </w:p>
    <w:p>
      <w:pPr>
        <w:pStyle w:val="BodyText"/>
        <w:spacing w:before="10"/>
        <w:rPr>
          <w:sz w:val="21"/>
        </w:rPr>
      </w:pPr>
    </w:p>
    <w:p>
      <w:pPr>
        <w:pStyle w:val="BodyText"/>
        <w:ind w:left="305" w:right="273"/>
        <w:jc w:val="both"/>
      </w:pPr>
      <w:r>
        <w:rPr/>
        <w:t>Atès el que estableix l´art. 11 de les bases d´execució del pressupost corresponent a l´exercici econòmic de 2018.</w:t>
      </w:r>
    </w:p>
    <w:p>
      <w:pPr>
        <w:pStyle w:val="BodyText"/>
      </w:pPr>
    </w:p>
    <w:p>
      <w:pPr>
        <w:pStyle w:val="BodyText"/>
        <w:ind w:left="305"/>
      </w:pPr>
      <w:r>
        <w:rPr/>
        <w:t>És pel que es proposa al Plenari Municipal, l´adopció dels següents ACORDS:</w:t>
      </w:r>
    </w:p>
    <w:p>
      <w:pPr>
        <w:pStyle w:val="BodyText"/>
        <w:spacing w:before="1"/>
      </w:pPr>
    </w:p>
    <w:p>
      <w:pPr>
        <w:pStyle w:val="BodyText"/>
        <w:ind w:left="305" w:right="270"/>
        <w:jc w:val="both"/>
      </w:pPr>
      <w:r>
        <w:rPr/>
        <w:t>PRIMER.- APROVAR l’expedient de modificació de pressupost de l´Ajuntament número 8/2018, per import de 5.791,32 €, mitjançant crèdits extraordinaris que cal finançar mitjançant la baixa de la partida del Fons de contingència del pressupost de l´ajuntament, de conformitat amb el detall exposat a la part expositiva anterior.</w:t>
      </w:r>
    </w:p>
    <w:p>
      <w:pPr>
        <w:pStyle w:val="BodyText"/>
      </w:pPr>
    </w:p>
    <w:p>
      <w:pPr>
        <w:pStyle w:val="BodyText"/>
        <w:ind w:left="305" w:right="273"/>
        <w:jc w:val="both"/>
      </w:pPr>
      <w:r>
        <w:rPr/>
        <w:t>SEGON.- Exposar al públic aquest expedient, durant el termini reglamentari de quinze dies hàbils, mitjançant un edicte al tauler d’anuncis i al Butlletí Oficial de la Província. Si no es presenten reclamacions, l’acord serà ferm. En cas contrari, el Ple disposarà del termini d’un mes, comptat des de la finalització del període d’exposició pública, per resoldre-les.</w:t>
      </w:r>
    </w:p>
    <w:p>
      <w:pPr>
        <w:pStyle w:val="BodyText"/>
        <w:spacing w:before="10"/>
        <w:rPr>
          <w:sz w:val="21"/>
        </w:rPr>
      </w:pPr>
    </w:p>
    <w:p>
      <w:pPr>
        <w:pStyle w:val="Heading1"/>
        <w:jc w:val="left"/>
      </w:pPr>
      <w:r>
        <w:rPr/>
        <w:t>11.-APROVACIÓ MODIFICACIÓ ESTATUTS CONSORCI DEL TER</w:t>
      </w:r>
    </w:p>
    <w:p>
      <w:pPr>
        <w:pStyle w:val="BodyText"/>
        <w:spacing w:before="3"/>
        <w:rPr>
          <w:b/>
        </w:rPr>
      </w:pPr>
    </w:p>
    <w:p>
      <w:pPr>
        <w:pStyle w:val="BodyText"/>
        <w:spacing w:before="1"/>
        <w:ind w:left="6500" w:right="269" w:firstLine="1541"/>
        <w:jc w:val="both"/>
      </w:pPr>
      <w:r>
        <w:rPr/>
        <w:t>Òrgan: Ple Caràcter: Sessió Ordinària Data: 20 de juliol de 2018</w:t>
      </w:r>
    </w:p>
    <w:p>
      <w:pPr>
        <w:pStyle w:val="BodyText"/>
        <w:spacing w:line="252" w:lineRule="exact"/>
        <w:ind w:right="272"/>
        <w:jc w:val="right"/>
      </w:pPr>
      <w:r>
        <w:rPr/>
        <w:t>Expedient núm. 2644-000002-2018 (X2018000738)</w:t>
      </w:r>
    </w:p>
    <w:p>
      <w:pPr>
        <w:pStyle w:val="BodyText"/>
        <w:spacing w:line="252" w:lineRule="exact"/>
        <w:ind w:right="270"/>
        <w:jc w:val="right"/>
      </w:pPr>
      <w:r>
        <w:rPr/>
        <w:t>Aprovat per unanimitat</w:t>
      </w:r>
    </w:p>
    <w:p>
      <w:pPr>
        <w:spacing w:after="0" w:line="252" w:lineRule="exact"/>
        <w:jc w:val="right"/>
        <w:sectPr>
          <w:headerReference w:type="default" r:id="rId33"/>
          <w:footerReference w:type="default" r:id="rId34"/>
          <w:pgSz w:w="11910" w:h="16840"/>
          <w:pgMar w:header="766" w:footer="0"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1960"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rPr>
          <w:sz w:val="20"/>
        </w:rPr>
      </w:pPr>
    </w:p>
    <w:p>
      <w:pPr>
        <w:pStyle w:val="BodyText"/>
        <w:rPr>
          <w:sz w:val="20"/>
        </w:rPr>
      </w:pPr>
    </w:p>
    <w:p>
      <w:pPr>
        <w:pStyle w:val="BodyText"/>
        <w:spacing w:before="8"/>
        <w:rPr>
          <w:sz w:val="23"/>
        </w:rPr>
      </w:pPr>
    </w:p>
    <w:p>
      <w:pPr>
        <w:pStyle w:val="BodyText"/>
        <w:spacing w:before="93"/>
        <w:ind w:left="305" w:right="7555"/>
      </w:pPr>
      <w:r>
        <w:rPr/>
        <w:t>Part expositiva:</w:t>
      </w:r>
    </w:p>
    <w:p>
      <w:pPr>
        <w:pStyle w:val="BodyText"/>
        <w:spacing w:before="10"/>
        <w:rPr>
          <w:sz w:val="21"/>
        </w:rPr>
      </w:pPr>
    </w:p>
    <w:p>
      <w:pPr>
        <w:pStyle w:val="BodyText"/>
        <w:ind w:left="305" w:right="7555"/>
      </w:pPr>
      <w:r>
        <w:rPr/>
        <w:t>Antecedents</w:t>
      </w:r>
    </w:p>
    <w:p>
      <w:pPr>
        <w:pStyle w:val="BodyText"/>
      </w:pPr>
    </w:p>
    <w:p>
      <w:pPr>
        <w:pStyle w:val="ListParagraph"/>
        <w:numPr>
          <w:ilvl w:val="0"/>
          <w:numId w:val="8"/>
        </w:numPr>
        <w:tabs>
          <w:tab w:pos="1014" w:val="left" w:leader="none"/>
        </w:tabs>
        <w:spacing w:line="240" w:lineRule="auto" w:before="0" w:after="0"/>
        <w:ind w:left="1025" w:right="271" w:hanging="360"/>
        <w:jc w:val="both"/>
        <w:rPr>
          <w:sz w:val="22"/>
        </w:rPr>
      </w:pPr>
      <w:r>
        <w:rPr>
          <w:sz w:val="22"/>
        </w:rPr>
        <w:t>L’article 7 dels estatuts del Consorci publicats en el Butlletí Oficial de la Província de Girona en data 19 de novembre de 2015 i en el Butlletí Oficial de la Província de Barcelona en data 20 de novembre de 2015 estableix la necessitat que els membres dels Consorci acceptin de forma expressa i pel quòrum pertinent a aquells nous</w:t>
      </w:r>
      <w:r>
        <w:rPr>
          <w:spacing w:val="-2"/>
          <w:sz w:val="22"/>
        </w:rPr>
        <w:t> </w:t>
      </w:r>
      <w:r>
        <w:rPr>
          <w:sz w:val="22"/>
        </w:rPr>
        <w:t>membres.</w:t>
      </w:r>
    </w:p>
    <w:p>
      <w:pPr>
        <w:pStyle w:val="BodyText"/>
        <w:spacing w:before="2"/>
      </w:pPr>
    </w:p>
    <w:p>
      <w:pPr>
        <w:pStyle w:val="ListParagraph"/>
        <w:numPr>
          <w:ilvl w:val="0"/>
          <w:numId w:val="8"/>
        </w:numPr>
        <w:tabs>
          <w:tab w:pos="1014" w:val="left" w:leader="none"/>
        </w:tabs>
        <w:spacing w:line="240" w:lineRule="auto" w:before="0" w:after="0"/>
        <w:ind w:left="1025" w:right="272" w:hanging="360"/>
        <w:jc w:val="both"/>
        <w:rPr>
          <w:sz w:val="22"/>
        </w:rPr>
      </w:pPr>
      <w:r>
        <w:rPr>
          <w:sz w:val="22"/>
        </w:rPr>
        <w:t>L’assemblea de data 30 de setembre de 2015 el Consorci del Ter, va aprovar l’acceptació de l’Ajuntament de Fornells de la Selva i l’Ajuntament d’Osor com a membre de dret del Consorci del Ter, aprovant inicialment la modificació dels estatuts reguladors</w:t>
      </w:r>
      <w:r>
        <w:rPr>
          <w:spacing w:val="-4"/>
          <w:sz w:val="22"/>
        </w:rPr>
        <w:t> </w:t>
      </w:r>
      <w:r>
        <w:rPr>
          <w:sz w:val="22"/>
        </w:rPr>
        <w:t>següent:</w:t>
      </w:r>
    </w:p>
    <w:p>
      <w:pPr>
        <w:pStyle w:val="BodyText"/>
        <w:spacing w:before="1"/>
      </w:pPr>
    </w:p>
    <w:p>
      <w:pPr>
        <w:pStyle w:val="ListParagraph"/>
        <w:numPr>
          <w:ilvl w:val="1"/>
          <w:numId w:val="8"/>
        </w:numPr>
        <w:tabs>
          <w:tab w:pos="1385" w:val="left" w:leader="none"/>
          <w:tab w:pos="1386" w:val="left" w:leader="none"/>
        </w:tabs>
        <w:spacing w:line="240" w:lineRule="auto" w:before="0" w:after="0"/>
        <w:ind w:left="1385" w:right="280" w:hanging="360"/>
        <w:jc w:val="left"/>
        <w:rPr>
          <w:sz w:val="22"/>
        </w:rPr>
      </w:pPr>
      <w:r>
        <w:rPr>
          <w:sz w:val="22"/>
        </w:rPr>
        <w:t>Inclusió en l’apartat segon de l’article 2 dels estatuts: ....Fornells de la Selva, Osor...</w:t>
      </w:r>
    </w:p>
    <w:p>
      <w:pPr>
        <w:pStyle w:val="ListParagraph"/>
        <w:numPr>
          <w:ilvl w:val="1"/>
          <w:numId w:val="8"/>
        </w:numPr>
        <w:tabs>
          <w:tab w:pos="1385" w:val="left" w:leader="none"/>
          <w:tab w:pos="1386" w:val="left" w:leader="none"/>
        </w:tabs>
        <w:spacing w:line="240" w:lineRule="auto" w:before="0" w:after="0"/>
        <w:ind w:left="1385" w:right="270" w:hanging="360"/>
        <w:jc w:val="left"/>
        <w:rPr>
          <w:sz w:val="22"/>
        </w:rPr>
      </w:pPr>
      <w:r>
        <w:rPr>
          <w:sz w:val="22"/>
        </w:rPr>
        <w:t>Inclusió en l’annex dels estatuts: Fornells de la Selva – Tram 3*; Osor – Tram 0.</w:t>
      </w:r>
    </w:p>
    <w:p>
      <w:pPr>
        <w:pStyle w:val="BodyText"/>
        <w:spacing w:before="10"/>
        <w:rPr>
          <w:sz w:val="21"/>
        </w:rPr>
      </w:pPr>
    </w:p>
    <w:p>
      <w:pPr>
        <w:pStyle w:val="ListParagraph"/>
        <w:numPr>
          <w:ilvl w:val="0"/>
          <w:numId w:val="8"/>
        </w:numPr>
        <w:tabs>
          <w:tab w:pos="1014" w:val="left" w:leader="none"/>
        </w:tabs>
        <w:spacing w:line="240" w:lineRule="auto" w:before="0" w:after="0"/>
        <w:ind w:left="1025" w:right="272" w:hanging="360"/>
        <w:jc w:val="both"/>
        <w:rPr>
          <w:sz w:val="22"/>
        </w:rPr>
      </w:pPr>
      <w:r>
        <w:rPr>
          <w:sz w:val="22"/>
        </w:rPr>
        <w:t>L’assemblea de data 28 de setembre de 2017 el Consorci del Ter, va aprovar l’acceptació de l’Ajuntament de Vilobí d’Onyar, l’Ajuntament de Canet d’Adri, Ajuntament de Sant Martí de Llémena i l’Ajuntament de Sant Aniol de Finestres com a membre de dret del Consorci del Ter, aprovat inicialment la modificació dels estatuts reguladors</w:t>
      </w:r>
      <w:r>
        <w:rPr>
          <w:spacing w:val="-4"/>
          <w:sz w:val="22"/>
        </w:rPr>
        <w:t> </w:t>
      </w:r>
      <w:r>
        <w:rPr>
          <w:sz w:val="22"/>
        </w:rPr>
        <w:t>següent:</w:t>
      </w:r>
    </w:p>
    <w:p>
      <w:pPr>
        <w:pStyle w:val="BodyText"/>
        <w:spacing w:before="2"/>
      </w:pPr>
    </w:p>
    <w:p>
      <w:pPr>
        <w:pStyle w:val="ListParagraph"/>
        <w:numPr>
          <w:ilvl w:val="1"/>
          <w:numId w:val="8"/>
        </w:numPr>
        <w:tabs>
          <w:tab w:pos="1385" w:val="left" w:leader="none"/>
          <w:tab w:pos="1386" w:val="left" w:leader="none"/>
        </w:tabs>
        <w:spacing w:line="240" w:lineRule="auto" w:before="0" w:after="0"/>
        <w:ind w:left="1385" w:right="277" w:hanging="360"/>
        <w:jc w:val="left"/>
        <w:rPr>
          <w:sz w:val="22"/>
        </w:rPr>
      </w:pPr>
      <w:r>
        <w:rPr>
          <w:sz w:val="22"/>
        </w:rPr>
        <w:t>Inclusió en l’apartat segon de l’article 2 dels estatuts: ... Vilobí d’Onyar, Canet d’Adri, Sant Martí de Llémena i Sant Aniol de</w:t>
      </w:r>
      <w:r>
        <w:rPr>
          <w:spacing w:val="-8"/>
          <w:sz w:val="22"/>
        </w:rPr>
        <w:t> </w:t>
      </w:r>
      <w:r>
        <w:rPr>
          <w:sz w:val="22"/>
        </w:rPr>
        <w:t>Finestres...</w:t>
      </w:r>
    </w:p>
    <w:p>
      <w:pPr>
        <w:pStyle w:val="ListParagraph"/>
        <w:numPr>
          <w:ilvl w:val="1"/>
          <w:numId w:val="8"/>
        </w:numPr>
        <w:tabs>
          <w:tab w:pos="1385" w:val="left" w:leader="none"/>
          <w:tab w:pos="1386" w:val="left" w:leader="none"/>
        </w:tabs>
        <w:spacing w:line="240" w:lineRule="auto" w:before="0" w:after="0"/>
        <w:ind w:left="1385" w:right="268" w:hanging="360"/>
        <w:jc w:val="left"/>
        <w:rPr>
          <w:sz w:val="22"/>
        </w:rPr>
      </w:pPr>
      <w:r>
        <w:rPr>
          <w:sz w:val="22"/>
        </w:rPr>
        <w:t>Inclusió en l’annex dels estatuts: Vilobí d’Onyar – Tram 3*, Canet d’Adri – Tram 1*, Sant Martí de Llémena – Tram 1*, Sant Aniol de Finestres – Tram</w:t>
      </w:r>
      <w:r>
        <w:rPr>
          <w:spacing w:val="-29"/>
          <w:sz w:val="22"/>
        </w:rPr>
        <w:t> </w:t>
      </w:r>
      <w:r>
        <w:rPr>
          <w:sz w:val="22"/>
        </w:rPr>
        <w:t>0*.</w:t>
      </w:r>
    </w:p>
    <w:p>
      <w:pPr>
        <w:pStyle w:val="BodyText"/>
        <w:spacing w:before="9"/>
        <w:rPr>
          <w:sz w:val="21"/>
        </w:rPr>
      </w:pPr>
    </w:p>
    <w:p>
      <w:pPr>
        <w:pStyle w:val="ListParagraph"/>
        <w:numPr>
          <w:ilvl w:val="0"/>
          <w:numId w:val="8"/>
        </w:numPr>
        <w:tabs>
          <w:tab w:pos="1014" w:val="left" w:leader="none"/>
        </w:tabs>
        <w:spacing w:line="240" w:lineRule="auto" w:before="1" w:after="0"/>
        <w:ind w:left="1025" w:right="270" w:hanging="360"/>
        <w:jc w:val="both"/>
        <w:rPr>
          <w:sz w:val="22"/>
        </w:rPr>
      </w:pPr>
      <w:r>
        <w:rPr>
          <w:sz w:val="22"/>
        </w:rPr>
        <w:t>En la sessió ordinària de l’Assembla de data 28 de setembre de 2017 també es va aprovar la modificació de les quotes dels ens consorciats, resultant de la forma següent:</w:t>
      </w:r>
    </w:p>
    <w:p>
      <w:pPr>
        <w:pStyle w:val="BodyText"/>
        <w:rPr>
          <w:sz w:val="20"/>
        </w:rPr>
      </w:pPr>
    </w:p>
    <w:p>
      <w:pPr>
        <w:pStyle w:val="BodyText"/>
        <w:spacing w:before="2"/>
        <w:rPr>
          <w:sz w:val="24"/>
        </w:rPr>
      </w:pPr>
    </w:p>
    <w:tbl>
      <w:tblPr>
        <w:tblW w:w="0" w:type="auto"/>
        <w:jc w:val="left"/>
        <w:tblInd w:w="2135"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ayout w:type="fixed"/>
        <w:tblCellMar>
          <w:top w:w="0" w:type="dxa"/>
          <w:left w:w="0" w:type="dxa"/>
          <w:bottom w:w="0" w:type="dxa"/>
          <w:right w:w="0" w:type="dxa"/>
        </w:tblCellMar>
        <w:tblLook w:val="01E0"/>
      </w:tblPr>
      <w:tblGrid>
        <w:gridCol w:w="2576"/>
        <w:gridCol w:w="1354"/>
        <w:gridCol w:w="1202"/>
      </w:tblGrid>
      <w:tr>
        <w:trPr>
          <w:trHeight w:val="260" w:hRule="atLeast"/>
        </w:trPr>
        <w:tc>
          <w:tcPr>
            <w:tcW w:w="5132" w:type="dxa"/>
            <w:gridSpan w:val="3"/>
            <w:shd w:val="clear" w:color="auto" w:fill="9BBA58"/>
          </w:tcPr>
          <w:p>
            <w:pPr>
              <w:pStyle w:val="TableParagraph"/>
              <w:spacing w:line="241" w:lineRule="exact"/>
              <w:rPr>
                <w:b/>
                <w:sz w:val="22"/>
              </w:rPr>
            </w:pPr>
            <w:r>
              <w:rPr>
                <w:b/>
                <w:color w:val="FFFFFF"/>
                <w:sz w:val="22"/>
              </w:rPr>
              <w:t>APORTACIONS DELS ENS CONSORCIATS</w:t>
            </w:r>
          </w:p>
        </w:tc>
      </w:tr>
      <w:tr>
        <w:trPr>
          <w:trHeight w:val="757" w:hRule="atLeast"/>
        </w:trPr>
        <w:tc>
          <w:tcPr>
            <w:tcW w:w="2576" w:type="dxa"/>
            <w:tcBorders>
              <w:right w:val="nil"/>
            </w:tcBorders>
            <w:shd w:val="clear" w:color="auto" w:fill="E6EDD4"/>
          </w:tcPr>
          <w:p>
            <w:pPr>
              <w:pStyle w:val="TableParagraph"/>
              <w:spacing w:line="248" w:lineRule="exact"/>
              <w:rPr>
                <w:b/>
                <w:sz w:val="22"/>
              </w:rPr>
            </w:pPr>
            <w:r>
              <w:rPr>
                <w:b/>
                <w:sz w:val="22"/>
              </w:rPr>
              <w:t>ENS CONSORCIATS</w:t>
            </w:r>
          </w:p>
        </w:tc>
        <w:tc>
          <w:tcPr>
            <w:tcW w:w="1354" w:type="dxa"/>
            <w:tcBorders>
              <w:left w:val="nil"/>
              <w:right w:val="nil"/>
            </w:tcBorders>
            <w:shd w:val="clear" w:color="auto" w:fill="E6EDD4"/>
          </w:tcPr>
          <w:p>
            <w:pPr>
              <w:pStyle w:val="TableParagraph"/>
              <w:spacing w:line="240" w:lineRule="auto"/>
              <w:ind w:left="342" w:right="331"/>
              <w:rPr>
                <w:b/>
                <w:sz w:val="22"/>
              </w:rPr>
            </w:pPr>
            <w:r>
              <w:rPr>
                <w:b/>
                <w:sz w:val="22"/>
              </w:rPr>
              <w:t>Trams de</w:t>
            </w:r>
          </w:p>
          <w:p>
            <w:pPr>
              <w:pStyle w:val="TableParagraph"/>
              <w:spacing w:line="236" w:lineRule="exact"/>
              <w:ind w:left="342"/>
              <w:rPr>
                <w:b/>
                <w:sz w:val="22"/>
              </w:rPr>
            </w:pPr>
            <w:r>
              <w:rPr>
                <w:b/>
                <w:sz w:val="22"/>
              </w:rPr>
              <w:t>població</w:t>
            </w:r>
          </w:p>
        </w:tc>
        <w:tc>
          <w:tcPr>
            <w:tcW w:w="1202" w:type="dxa"/>
            <w:tcBorders>
              <w:left w:val="nil"/>
            </w:tcBorders>
            <w:shd w:val="clear" w:color="auto" w:fill="E6EDD4"/>
          </w:tcPr>
          <w:p>
            <w:pPr>
              <w:pStyle w:val="TableParagraph"/>
              <w:spacing w:line="240" w:lineRule="auto"/>
              <w:ind w:left="123" w:right="95"/>
              <w:rPr>
                <w:b/>
                <w:sz w:val="22"/>
              </w:rPr>
            </w:pPr>
            <w:r>
              <w:rPr>
                <w:b/>
                <w:sz w:val="22"/>
              </w:rPr>
              <w:t>Proposta 2018</w:t>
            </w:r>
          </w:p>
        </w:tc>
      </w:tr>
      <w:tr>
        <w:trPr>
          <w:trHeight w:val="258" w:hRule="atLeast"/>
        </w:trPr>
        <w:tc>
          <w:tcPr>
            <w:tcW w:w="5132" w:type="dxa"/>
            <w:gridSpan w:val="3"/>
          </w:tcPr>
          <w:p>
            <w:pPr>
              <w:pStyle w:val="TableParagraph"/>
              <w:spacing w:line="238" w:lineRule="exact"/>
              <w:ind w:left="0" w:right="136"/>
              <w:jc w:val="right"/>
              <w:rPr>
                <w:sz w:val="22"/>
              </w:rPr>
            </w:pPr>
            <w:r>
              <w:rPr>
                <w:sz w:val="22"/>
              </w:rPr>
              <w:t>Any 2018</w:t>
            </w:r>
          </w:p>
        </w:tc>
      </w:tr>
      <w:tr>
        <w:trPr>
          <w:trHeight w:val="253" w:hRule="atLeast"/>
        </w:trPr>
        <w:tc>
          <w:tcPr>
            <w:tcW w:w="2576" w:type="dxa"/>
            <w:tcBorders>
              <w:right w:val="nil"/>
            </w:tcBorders>
            <w:shd w:val="clear" w:color="auto" w:fill="E6EDD4"/>
          </w:tcPr>
          <w:p>
            <w:pPr>
              <w:pStyle w:val="TableParagraph"/>
              <w:rPr>
                <w:b/>
                <w:sz w:val="22"/>
              </w:rPr>
            </w:pPr>
            <w:r>
              <w:rPr>
                <w:b/>
                <w:sz w:val="22"/>
              </w:rPr>
              <w:t>SETCASES</w:t>
            </w:r>
          </w:p>
        </w:tc>
        <w:tc>
          <w:tcPr>
            <w:tcW w:w="1354" w:type="dxa"/>
            <w:tcBorders>
              <w:left w:val="nil"/>
              <w:right w:val="nil"/>
            </w:tcBorders>
            <w:shd w:val="clear" w:color="auto" w:fill="E6EDD4"/>
          </w:tcPr>
          <w:p>
            <w:pPr>
              <w:pStyle w:val="TableParagraph"/>
              <w:ind w:left="342"/>
              <w:rPr>
                <w:sz w:val="22"/>
              </w:rPr>
            </w:pPr>
            <w:r>
              <w:rPr>
                <w:w w:val="100"/>
                <w:sz w:val="22"/>
              </w:rPr>
              <w:t>0</w:t>
            </w:r>
          </w:p>
        </w:tc>
        <w:tc>
          <w:tcPr>
            <w:tcW w:w="1202" w:type="dxa"/>
            <w:tcBorders>
              <w:left w:val="nil"/>
            </w:tcBorders>
            <w:shd w:val="clear" w:color="auto" w:fill="E6EDD4"/>
          </w:tcPr>
          <w:p>
            <w:pPr>
              <w:pStyle w:val="TableParagraph"/>
              <w:ind w:left="123"/>
              <w:rPr>
                <w:sz w:val="22"/>
              </w:rPr>
            </w:pPr>
            <w:r>
              <w:rPr>
                <w:sz w:val="22"/>
              </w:rPr>
              <w:t>382,59</w:t>
            </w:r>
          </w:p>
        </w:tc>
      </w:tr>
      <w:tr>
        <w:trPr>
          <w:trHeight w:val="253" w:hRule="atLeast"/>
        </w:trPr>
        <w:tc>
          <w:tcPr>
            <w:tcW w:w="2576" w:type="dxa"/>
            <w:tcBorders>
              <w:right w:val="nil"/>
            </w:tcBorders>
          </w:tcPr>
          <w:p>
            <w:pPr>
              <w:pStyle w:val="TableParagraph"/>
              <w:rPr>
                <w:b/>
                <w:sz w:val="22"/>
              </w:rPr>
            </w:pPr>
            <w:r>
              <w:rPr>
                <w:b/>
                <w:sz w:val="22"/>
              </w:rPr>
              <w:t>SERRA DE DARÓ</w:t>
            </w:r>
          </w:p>
        </w:tc>
        <w:tc>
          <w:tcPr>
            <w:tcW w:w="1354" w:type="dxa"/>
            <w:tcBorders>
              <w:left w:val="nil"/>
              <w:right w:val="nil"/>
            </w:tcBorders>
          </w:tcPr>
          <w:p>
            <w:pPr>
              <w:pStyle w:val="TableParagraph"/>
              <w:ind w:left="342"/>
              <w:rPr>
                <w:sz w:val="22"/>
              </w:rPr>
            </w:pPr>
            <w:r>
              <w:rPr>
                <w:w w:val="100"/>
                <w:sz w:val="22"/>
              </w:rPr>
              <w:t>0</w:t>
            </w:r>
          </w:p>
        </w:tc>
        <w:tc>
          <w:tcPr>
            <w:tcW w:w="1202" w:type="dxa"/>
            <w:tcBorders>
              <w:left w:val="nil"/>
            </w:tcBorders>
          </w:tcPr>
          <w:p>
            <w:pPr>
              <w:pStyle w:val="TableParagraph"/>
              <w:ind w:left="123"/>
              <w:rPr>
                <w:sz w:val="22"/>
              </w:rPr>
            </w:pPr>
            <w:r>
              <w:rPr>
                <w:sz w:val="22"/>
              </w:rPr>
              <w:t>382,59</w:t>
            </w:r>
          </w:p>
        </w:tc>
      </w:tr>
      <w:tr>
        <w:trPr>
          <w:trHeight w:val="253" w:hRule="atLeast"/>
        </w:trPr>
        <w:tc>
          <w:tcPr>
            <w:tcW w:w="2576" w:type="dxa"/>
            <w:tcBorders>
              <w:right w:val="nil"/>
            </w:tcBorders>
            <w:shd w:val="clear" w:color="auto" w:fill="E6EDD4"/>
          </w:tcPr>
          <w:p>
            <w:pPr>
              <w:pStyle w:val="TableParagraph"/>
              <w:rPr>
                <w:b/>
                <w:sz w:val="22"/>
              </w:rPr>
            </w:pPr>
            <w:r>
              <w:rPr>
                <w:b/>
                <w:sz w:val="22"/>
              </w:rPr>
              <w:t>QUERALBS</w:t>
            </w:r>
          </w:p>
        </w:tc>
        <w:tc>
          <w:tcPr>
            <w:tcW w:w="1354" w:type="dxa"/>
            <w:tcBorders>
              <w:left w:val="nil"/>
              <w:right w:val="nil"/>
            </w:tcBorders>
            <w:shd w:val="clear" w:color="auto" w:fill="E6EDD4"/>
          </w:tcPr>
          <w:p>
            <w:pPr>
              <w:pStyle w:val="TableParagraph"/>
              <w:ind w:left="342"/>
              <w:rPr>
                <w:sz w:val="22"/>
              </w:rPr>
            </w:pPr>
            <w:r>
              <w:rPr>
                <w:w w:val="100"/>
                <w:sz w:val="22"/>
              </w:rPr>
              <w:t>0</w:t>
            </w:r>
          </w:p>
        </w:tc>
        <w:tc>
          <w:tcPr>
            <w:tcW w:w="1202" w:type="dxa"/>
            <w:tcBorders>
              <w:left w:val="nil"/>
            </w:tcBorders>
            <w:shd w:val="clear" w:color="auto" w:fill="E6EDD4"/>
          </w:tcPr>
          <w:p>
            <w:pPr>
              <w:pStyle w:val="TableParagraph"/>
              <w:ind w:left="123"/>
              <w:rPr>
                <w:sz w:val="22"/>
              </w:rPr>
            </w:pPr>
            <w:r>
              <w:rPr>
                <w:sz w:val="22"/>
              </w:rPr>
              <w:t>382,59</w:t>
            </w:r>
          </w:p>
        </w:tc>
      </w:tr>
      <w:tr>
        <w:trPr>
          <w:trHeight w:val="251" w:hRule="atLeast"/>
        </w:trPr>
        <w:tc>
          <w:tcPr>
            <w:tcW w:w="2576" w:type="dxa"/>
            <w:tcBorders>
              <w:right w:val="nil"/>
            </w:tcBorders>
          </w:tcPr>
          <w:p>
            <w:pPr>
              <w:pStyle w:val="TableParagraph"/>
              <w:spacing w:line="231" w:lineRule="exact"/>
              <w:rPr>
                <w:b/>
                <w:sz w:val="22"/>
              </w:rPr>
            </w:pPr>
            <w:r>
              <w:rPr>
                <w:b/>
                <w:sz w:val="22"/>
              </w:rPr>
              <w:t>ULTRAMORT</w:t>
            </w:r>
          </w:p>
        </w:tc>
        <w:tc>
          <w:tcPr>
            <w:tcW w:w="1354" w:type="dxa"/>
            <w:tcBorders>
              <w:left w:val="nil"/>
              <w:right w:val="nil"/>
            </w:tcBorders>
          </w:tcPr>
          <w:p>
            <w:pPr>
              <w:pStyle w:val="TableParagraph"/>
              <w:spacing w:line="231" w:lineRule="exact"/>
              <w:ind w:left="342"/>
              <w:rPr>
                <w:sz w:val="22"/>
              </w:rPr>
            </w:pPr>
            <w:r>
              <w:rPr>
                <w:w w:val="100"/>
                <w:sz w:val="22"/>
              </w:rPr>
              <w:t>0</w:t>
            </w:r>
          </w:p>
        </w:tc>
        <w:tc>
          <w:tcPr>
            <w:tcW w:w="1202" w:type="dxa"/>
            <w:tcBorders>
              <w:left w:val="nil"/>
            </w:tcBorders>
          </w:tcPr>
          <w:p>
            <w:pPr>
              <w:pStyle w:val="TableParagraph"/>
              <w:spacing w:line="231" w:lineRule="exact"/>
              <w:ind w:left="123"/>
              <w:rPr>
                <w:sz w:val="22"/>
              </w:rPr>
            </w:pPr>
            <w:r>
              <w:rPr>
                <w:sz w:val="22"/>
              </w:rPr>
              <w:t>382,59</w:t>
            </w:r>
          </w:p>
        </w:tc>
      </w:tr>
      <w:tr>
        <w:trPr>
          <w:trHeight w:val="253" w:hRule="atLeast"/>
        </w:trPr>
        <w:tc>
          <w:tcPr>
            <w:tcW w:w="2576" w:type="dxa"/>
            <w:tcBorders>
              <w:right w:val="nil"/>
            </w:tcBorders>
            <w:shd w:val="clear" w:color="auto" w:fill="E6EDD4"/>
          </w:tcPr>
          <w:p>
            <w:pPr>
              <w:pStyle w:val="TableParagraph"/>
              <w:rPr>
                <w:b/>
                <w:sz w:val="22"/>
              </w:rPr>
            </w:pPr>
            <w:r>
              <w:rPr>
                <w:b/>
                <w:sz w:val="22"/>
              </w:rPr>
              <w:t>CAMPELLES</w:t>
            </w:r>
          </w:p>
        </w:tc>
        <w:tc>
          <w:tcPr>
            <w:tcW w:w="1354" w:type="dxa"/>
            <w:tcBorders>
              <w:left w:val="nil"/>
              <w:right w:val="nil"/>
            </w:tcBorders>
            <w:shd w:val="clear" w:color="auto" w:fill="E6EDD4"/>
          </w:tcPr>
          <w:p>
            <w:pPr>
              <w:pStyle w:val="TableParagraph"/>
              <w:ind w:left="342"/>
              <w:rPr>
                <w:sz w:val="22"/>
              </w:rPr>
            </w:pPr>
            <w:r>
              <w:rPr>
                <w:w w:val="100"/>
                <w:sz w:val="22"/>
              </w:rPr>
              <w:t>0</w:t>
            </w:r>
          </w:p>
        </w:tc>
        <w:tc>
          <w:tcPr>
            <w:tcW w:w="1202" w:type="dxa"/>
            <w:tcBorders>
              <w:left w:val="nil"/>
            </w:tcBorders>
            <w:shd w:val="clear" w:color="auto" w:fill="E6EDD4"/>
          </w:tcPr>
          <w:p>
            <w:pPr>
              <w:pStyle w:val="TableParagraph"/>
              <w:ind w:left="123"/>
              <w:rPr>
                <w:sz w:val="22"/>
              </w:rPr>
            </w:pPr>
            <w:r>
              <w:rPr>
                <w:sz w:val="22"/>
              </w:rPr>
              <w:t>382,59</w:t>
            </w:r>
          </w:p>
        </w:tc>
      </w:tr>
      <w:tr>
        <w:trPr>
          <w:trHeight w:val="253" w:hRule="atLeast"/>
        </w:trPr>
        <w:tc>
          <w:tcPr>
            <w:tcW w:w="2576" w:type="dxa"/>
            <w:tcBorders>
              <w:right w:val="nil"/>
            </w:tcBorders>
          </w:tcPr>
          <w:p>
            <w:pPr>
              <w:pStyle w:val="TableParagraph"/>
              <w:rPr>
                <w:b/>
                <w:sz w:val="22"/>
              </w:rPr>
            </w:pPr>
            <w:r>
              <w:rPr>
                <w:b/>
                <w:sz w:val="22"/>
              </w:rPr>
              <w:t>COLOMERS</w:t>
            </w:r>
          </w:p>
        </w:tc>
        <w:tc>
          <w:tcPr>
            <w:tcW w:w="1354" w:type="dxa"/>
            <w:tcBorders>
              <w:left w:val="nil"/>
              <w:right w:val="nil"/>
            </w:tcBorders>
          </w:tcPr>
          <w:p>
            <w:pPr>
              <w:pStyle w:val="TableParagraph"/>
              <w:ind w:left="342"/>
              <w:rPr>
                <w:sz w:val="22"/>
              </w:rPr>
            </w:pPr>
            <w:r>
              <w:rPr>
                <w:w w:val="100"/>
                <w:sz w:val="22"/>
              </w:rPr>
              <w:t>0</w:t>
            </w:r>
          </w:p>
        </w:tc>
        <w:tc>
          <w:tcPr>
            <w:tcW w:w="1202" w:type="dxa"/>
            <w:tcBorders>
              <w:left w:val="nil"/>
            </w:tcBorders>
          </w:tcPr>
          <w:p>
            <w:pPr>
              <w:pStyle w:val="TableParagraph"/>
              <w:ind w:left="123"/>
              <w:rPr>
                <w:sz w:val="22"/>
              </w:rPr>
            </w:pPr>
            <w:r>
              <w:rPr>
                <w:sz w:val="22"/>
              </w:rPr>
              <w:t>382,59</w:t>
            </w:r>
          </w:p>
        </w:tc>
      </w:tr>
      <w:tr>
        <w:trPr>
          <w:trHeight w:val="253" w:hRule="atLeast"/>
        </w:trPr>
        <w:tc>
          <w:tcPr>
            <w:tcW w:w="2576" w:type="dxa"/>
            <w:tcBorders>
              <w:right w:val="nil"/>
            </w:tcBorders>
            <w:shd w:val="clear" w:color="auto" w:fill="E6EDD4"/>
          </w:tcPr>
          <w:p>
            <w:pPr>
              <w:pStyle w:val="TableParagraph"/>
              <w:rPr>
                <w:b/>
                <w:sz w:val="22"/>
              </w:rPr>
            </w:pPr>
            <w:r>
              <w:rPr>
                <w:b/>
                <w:sz w:val="22"/>
              </w:rPr>
              <w:t>LES LLOSSES</w:t>
            </w:r>
          </w:p>
        </w:tc>
        <w:tc>
          <w:tcPr>
            <w:tcW w:w="1354" w:type="dxa"/>
            <w:tcBorders>
              <w:left w:val="nil"/>
              <w:right w:val="nil"/>
            </w:tcBorders>
            <w:shd w:val="clear" w:color="auto" w:fill="E6EDD4"/>
          </w:tcPr>
          <w:p>
            <w:pPr>
              <w:pStyle w:val="TableParagraph"/>
              <w:ind w:left="342"/>
              <w:rPr>
                <w:sz w:val="22"/>
              </w:rPr>
            </w:pPr>
            <w:r>
              <w:rPr>
                <w:w w:val="100"/>
                <w:sz w:val="22"/>
              </w:rPr>
              <w:t>0</w:t>
            </w:r>
          </w:p>
        </w:tc>
        <w:tc>
          <w:tcPr>
            <w:tcW w:w="1202" w:type="dxa"/>
            <w:tcBorders>
              <w:left w:val="nil"/>
            </w:tcBorders>
            <w:shd w:val="clear" w:color="auto" w:fill="E6EDD4"/>
          </w:tcPr>
          <w:p>
            <w:pPr>
              <w:pStyle w:val="TableParagraph"/>
              <w:ind w:left="123"/>
              <w:rPr>
                <w:sz w:val="22"/>
              </w:rPr>
            </w:pPr>
            <w:r>
              <w:rPr>
                <w:sz w:val="22"/>
              </w:rPr>
              <w:t>382,59</w:t>
            </w:r>
          </w:p>
        </w:tc>
      </w:tr>
      <w:tr>
        <w:trPr>
          <w:trHeight w:val="251" w:hRule="atLeast"/>
        </w:trPr>
        <w:tc>
          <w:tcPr>
            <w:tcW w:w="2576" w:type="dxa"/>
            <w:tcBorders>
              <w:right w:val="nil"/>
            </w:tcBorders>
          </w:tcPr>
          <w:p>
            <w:pPr>
              <w:pStyle w:val="TableParagraph"/>
              <w:spacing w:line="231" w:lineRule="exact"/>
              <w:rPr>
                <w:b/>
                <w:sz w:val="22"/>
              </w:rPr>
            </w:pPr>
            <w:r>
              <w:rPr>
                <w:b/>
                <w:sz w:val="22"/>
              </w:rPr>
              <w:t>FOIXÀ</w:t>
            </w:r>
          </w:p>
        </w:tc>
        <w:tc>
          <w:tcPr>
            <w:tcW w:w="1354" w:type="dxa"/>
            <w:tcBorders>
              <w:left w:val="nil"/>
              <w:right w:val="nil"/>
            </w:tcBorders>
          </w:tcPr>
          <w:p>
            <w:pPr>
              <w:pStyle w:val="TableParagraph"/>
              <w:spacing w:line="231" w:lineRule="exact"/>
              <w:ind w:left="342"/>
              <w:rPr>
                <w:sz w:val="22"/>
              </w:rPr>
            </w:pPr>
            <w:r>
              <w:rPr>
                <w:w w:val="100"/>
                <w:sz w:val="22"/>
              </w:rPr>
              <w:t>0</w:t>
            </w:r>
          </w:p>
        </w:tc>
        <w:tc>
          <w:tcPr>
            <w:tcW w:w="1202" w:type="dxa"/>
            <w:tcBorders>
              <w:left w:val="nil"/>
            </w:tcBorders>
          </w:tcPr>
          <w:p>
            <w:pPr>
              <w:pStyle w:val="TableParagraph"/>
              <w:spacing w:line="231" w:lineRule="exact"/>
              <w:ind w:left="123"/>
              <w:rPr>
                <w:sz w:val="22"/>
              </w:rPr>
            </w:pPr>
            <w:r>
              <w:rPr>
                <w:sz w:val="22"/>
              </w:rPr>
              <w:t>382,59</w:t>
            </w:r>
          </w:p>
        </w:tc>
      </w:tr>
      <w:tr>
        <w:trPr>
          <w:trHeight w:val="253" w:hRule="atLeast"/>
        </w:trPr>
        <w:tc>
          <w:tcPr>
            <w:tcW w:w="2576" w:type="dxa"/>
            <w:tcBorders>
              <w:right w:val="nil"/>
            </w:tcBorders>
            <w:shd w:val="clear" w:color="auto" w:fill="E6EDD4"/>
          </w:tcPr>
          <w:p>
            <w:pPr>
              <w:pStyle w:val="TableParagraph"/>
              <w:rPr>
                <w:b/>
                <w:sz w:val="22"/>
              </w:rPr>
            </w:pPr>
            <w:r>
              <w:rPr>
                <w:b/>
                <w:sz w:val="22"/>
              </w:rPr>
              <w:t>FONTANILLES</w:t>
            </w:r>
          </w:p>
        </w:tc>
        <w:tc>
          <w:tcPr>
            <w:tcW w:w="1354" w:type="dxa"/>
            <w:tcBorders>
              <w:left w:val="nil"/>
              <w:right w:val="nil"/>
            </w:tcBorders>
            <w:shd w:val="clear" w:color="auto" w:fill="E6EDD4"/>
          </w:tcPr>
          <w:p>
            <w:pPr>
              <w:pStyle w:val="TableParagraph"/>
              <w:ind w:left="342"/>
              <w:rPr>
                <w:sz w:val="22"/>
              </w:rPr>
            </w:pPr>
            <w:r>
              <w:rPr>
                <w:w w:val="100"/>
                <w:sz w:val="22"/>
              </w:rPr>
              <w:t>0</w:t>
            </w:r>
          </w:p>
        </w:tc>
        <w:tc>
          <w:tcPr>
            <w:tcW w:w="1202" w:type="dxa"/>
            <w:tcBorders>
              <w:left w:val="nil"/>
            </w:tcBorders>
            <w:shd w:val="clear" w:color="auto" w:fill="E6EDD4"/>
          </w:tcPr>
          <w:p>
            <w:pPr>
              <w:pStyle w:val="TableParagraph"/>
              <w:ind w:left="123"/>
              <w:rPr>
                <w:sz w:val="22"/>
              </w:rPr>
            </w:pPr>
            <w:r>
              <w:rPr>
                <w:sz w:val="22"/>
              </w:rPr>
              <w:t>382,59</w:t>
            </w:r>
          </w:p>
        </w:tc>
      </w:tr>
      <w:tr>
        <w:trPr>
          <w:trHeight w:val="253" w:hRule="atLeast"/>
        </w:trPr>
        <w:tc>
          <w:tcPr>
            <w:tcW w:w="2576" w:type="dxa"/>
            <w:tcBorders>
              <w:right w:val="nil"/>
            </w:tcBorders>
          </w:tcPr>
          <w:p>
            <w:pPr>
              <w:pStyle w:val="TableParagraph"/>
              <w:rPr>
                <w:b/>
                <w:sz w:val="22"/>
              </w:rPr>
            </w:pPr>
            <w:r>
              <w:rPr>
                <w:b/>
                <w:sz w:val="22"/>
              </w:rPr>
              <w:t>GUALTA</w:t>
            </w:r>
          </w:p>
        </w:tc>
        <w:tc>
          <w:tcPr>
            <w:tcW w:w="1354" w:type="dxa"/>
            <w:tcBorders>
              <w:left w:val="nil"/>
              <w:right w:val="nil"/>
            </w:tcBorders>
          </w:tcPr>
          <w:p>
            <w:pPr>
              <w:pStyle w:val="TableParagraph"/>
              <w:ind w:left="342"/>
              <w:rPr>
                <w:sz w:val="22"/>
              </w:rPr>
            </w:pPr>
            <w:r>
              <w:rPr>
                <w:w w:val="100"/>
                <w:sz w:val="22"/>
              </w:rPr>
              <w:t>0</w:t>
            </w:r>
          </w:p>
        </w:tc>
        <w:tc>
          <w:tcPr>
            <w:tcW w:w="1202" w:type="dxa"/>
            <w:tcBorders>
              <w:left w:val="nil"/>
            </w:tcBorders>
          </w:tcPr>
          <w:p>
            <w:pPr>
              <w:pStyle w:val="TableParagraph"/>
              <w:ind w:left="123"/>
              <w:rPr>
                <w:sz w:val="22"/>
              </w:rPr>
            </w:pPr>
            <w:r>
              <w:rPr>
                <w:sz w:val="22"/>
              </w:rPr>
              <w:t>382,59</w:t>
            </w:r>
          </w:p>
        </w:tc>
      </w:tr>
    </w:tbl>
    <w:p>
      <w:pPr>
        <w:spacing w:after="0"/>
        <w:rPr>
          <w:sz w:val="22"/>
        </w:rPr>
        <w:sectPr>
          <w:headerReference w:type="default" r:id="rId35"/>
          <w:footerReference w:type="default" r:id="rId36"/>
          <w:pgSz w:w="11910" w:h="16840"/>
          <w:pgMar w:header="766" w:footer="0" w:top="1920" w:bottom="280" w:left="1680" w:right="860"/>
        </w:sectPr>
      </w:pPr>
    </w:p>
    <w:p>
      <w:pPr>
        <w:pStyle w:val="BodyText"/>
        <w:rPr>
          <w:rFonts w:ascii="Times New Roman"/>
          <w:sz w:val="20"/>
        </w:rPr>
      </w:pPr>
      <w:r>
        <w:rPr/>
        <w:pict>
          <v:shape style="position:absolute;margin-left:46.0816pt;margin-top:295.227448pt;width:11pt;height:413.3pt;mso-position-horizontal-relative:page;mso-position-vertical-relative:page;z-index:1984"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rPr>
          <w:rFonts w:ascii="Times New Roman"/>
          <w:sz w:val="28"/>
        </w:rPr>
      </w:pPr>
    </w:p>
    <w:tbl>
      <w:tblPr>
        <w:tblW w:w="0" w:type="auto"/>
        <w:jc w:val="left"/>
        <w:tblInd w:w="2135"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ayout w:type="fixed"/>
        <w:tblCellMar>
          <w:top w:w="0" w:type="dxa"/>
          <w:left w:w="0" w:type="dxa"/>
          <w:bottom w:w="0" w:type="dxa"/>
          <w:right w:w="0" w:type="dxa"/>
        </w:tblCellMar>
        <w:tblLook w:val="01E0"/>
      </w:tblPr>
      <w:tblGrid>
        <w:gridCol w:w="2804"/>
        <w:gridCol w:w="777"/>
        <w:gridCol w:w="1552"/>
      </w:tblGrid>
      <w:tr>
        <w:trPr>
          <w:trHeight w:val="505" w:hRule="atLeast"/>
        </w:trPr>
        <w:tc>
          <w:tcPr>
            <w:tcW w:w="2804" w:type="dxa"/>
            <w:tcBorders>
              <w:right w:val="nil"/>
            </w:tcBorders>
            <w:shd w:val="clear" w:color="auto" w:fill="E6EDD4"/>
          </w:tcPr>
          <w:p>
            <w:pPr>
              <w:pStyle w:val="TableParagraph"/>
              <w:tabs>
                <w:tab w:pos="1655" w:val="left" w:leader="none"/>
              </w:tabs>
              <w:spacing w:line="248" w:lineRule="exact"/>
              <w:rPr>
                <w:b/>
                <w:sz w:val="22"/>
              </w:rPr>
            </w:pPr>
            <w:r>
              <w:rPr>
                <w:b/>
                <w:sz w:val="22"/>
              </w:rPr>
              <w:t>LA</w:t>
              <w:tab/>
              <w:t>TALLADA</w:t>
            </w:r>
          </w:p>
          <w:p>
            <w:pPr>
              <w:pStyle w:val="TableParagraph"/>
              <w:spacing w:line="236" w:lineRule="exact" w:before="1"/>
              <w:rPr>
                <w:b/>
                <w:sz w:val="22"/>
              </w:rPr>
            </w:pPr>
            <w:r>
              <w:rPr>
                <w:b/>
                <w:sz w:val="22"/>
              </w:rPr>
              <w:t>D'EMPORDÀ</w:t>
            </w:r>
          </w:p>
        </w:tc>
        <w:tc>
          <w:tcPr>
            <w:tcW w:w="777" w:type="dxa"/>
            <w:tcBorders>
              <w:left w:val="nil"/>
              <w:right w:val="nil"/>
            </w:tcBorders>
            <w:shd w:val="clear" w:color="auto" w:fill="E6EDD4"/>
          </w:tcPr>
          <w:p>
            <w:pPr>
              <w:pStyle w:val="TableParagraph"/>
              <w:spacing w:line="250" w:lineRule="exact"/>
              <w:ind w:left="114"/>
              <w:rPr>
                <w:sz w:val="22"/>
              </w:rPr>
            </w:pPr>
            <w:r>
              <w:rPr>
                <w:w w:val="100"/>
                <w:sz w:val="22"/>
              </w:rPr>
              <w:t>0</w:t>
            </w:r>
          </w:p>
        </w:tc>
        <w:tc>
          <w:tcPr>
            <w:tcW w:w="1552" w:type="dxa"/>
            <w:tcBorders>
              <w:left w:val="nil"/>
            </w:tcBorders>
            <w:shd w:val="clear" w:color="auto" w:fill="E6EDD4"/>
          </w:tcPr>
          <w:p>
            <w:pPr>
              <w:pStyle w:val="TableParagraph"/>
              <w:spacing w:line="250" w:lineRule="exact"/>
              <w:ind w:left="472"/>
              <w:rPr>
                <w:sz w:val="22"/>
              </w:rPr>
            </w:pPr>
            <w:r>
              <w:rPr>
                <w:sz w:val="22"/>
              </w:rPr>
              <w:t>382,59</w:t>
            </w:r>
          </w:p>
        </w:tc>
      </w:tr>
      <w:tr>
        <w:trPr>
          <w:trHeight w:val="253" w:hRule="atLeast"/>
        </w:trPr>
        <w:tc>
          <w:tcPr>
            <w:tcW w:w="2804" w:type="dxa"/>
            <w:tcBorders>
              <w:right w:val="nil"/>
            </w:tcBorders>
          </w:tcPr>
          <w:p>
            <w:pPr>
              <w:pStyle w:val="TableParagraph"/>
              <w:rPr>
                <w:b/>
                <w:sz w:val="22"/>
              </w:rPr>
            </w:pPr>
            <w:r>
              <w:rPr>
                <w:b/>
                <w:sz w:val="22"/>
              </w:rPr>
              <w:t>JAFRE</w:t>
            </w:r>
          </w:p>
        </w:tc>
        <w:tc>
          <w:tcPr>
            <w:tcW w:w="777" w:type="dxa"/>
            <w:tcBorders>
              <w:left w:val="nil"/>
              <w:right w:val="nil"/>
            </w:tcBorders>
          </w:tcPr>
          <w:p>
            <w:pPr>
              <w:pStyle w:val="TableParagraph"/>
              <w:ind w:left="114"/>
              <w:rPr>
                <w:sz w:val="22"/>
              </w:rPr>
            </w:pPr>
            <w:r>
              <w:rPr>
                <w:w w:val="100"/>
                <w:sz w:val="22"/>
              </w:rPr>
              <w:t>0</w:t>
            </w:r>
          </w:p>
        </w:tc>
        <w:tc>
          <w:tcPr>
            <w:tcW w:w="1552" w:type="dxa"/>
            <w:tcBorders>
              <w:left w:val="nil"/>
            </w:tcBorders>
          </w:tcPr>
          <w:p>
            <w:pPr>
              <w:pStyle w:val="TableParagraph"/>
              <w:ind w:left="472"/>
              <w:rPr>
                <w:sz w:val="22"/>
              </w:rPr>
            </w:pPr>
            <w:r>
              <w:rPr>
                <w:sz w:val="22"/>
              </w:rPr>
              <w:t>382,59</w:t>
            </w:r>
          </w:p>
        </w:tc>
      </w:tr>
      <w:tr>
        <w:trPr>
          <w:trHeight w:val="251" w:hRule="atLeast"/>
        </w:trPr>
        <w:tc>
          <w:tcPr>
            <w:tcW w:w="2804" w:type="dxa"/>
            <w:tcBorders>
              <w:right w:val="nil"/>
            </w:tcBorders>
            <w:shd w:val="clear" w:color="auto" w:fill="E6EDD4"/>
          </w:tcPr>
          <w:p>
            <w:pPr>
              <w:pStyle w:val="TableParagraph"/>
              <w:spacing w:line="231" w:lineRule="exact"/>
              <w:rPr>
                <w:b/>
                <w:sz w:val="22"/>
              </w:rPr>
            </w:pPr>
            <w:r>
              <w:rPr>
                <w:b/>
                <w:sz w:val="22"/>
              </w:rPr>
              <w:t>ORÍS</w:t>
            </w:r>
          </w:p>
        </w:tc>
        <w:tc>
          <w:tcPr>
            <w:tcW w:w="777" w:type="dxa"/>
            <w:tcBorders>
              <w:left w:val="nil"/>
              <w:right w:val="nil"/>
            </w:tcBorders>
            <w:shd w:val="clear" w:color="auto" w:fill="E6EDD4"/>
          </w:tcPr>
          <w:p>
            <w:pPr>
              <w:pStyle w:val="TableParagraph"/>
              <w:spacing w:line="231" w:lineRule="exact"/>
              <w:ind w:left="114"/>
              <w:rPr>
                <w:sz w:val="22"/>
              </w:rPr>
            </w:pPr>
            <w:r>
              <w:rPr>
                <w:w w:val="100"/>
                <w:sz w:val="22"/>
              </w:rPr>
              <w:t>0</w:t>
            </w:r>
          </w:p>
        </w:tc>
        <w:tc>
          <w:tcPr>
            <w:tcW w:w="1552" w:type="dxa"/>
            <w:tcBorders>
              <w:left w:val="nil"/>
            </w:tcBorders>
            <w:shd w:val="clear" w:color="auto" w:fill="E6EDD4"/>
          </w:tcPr>
          <w:p>
            <w:pPr>
              <w:pStyle w:val="TableParagraph"/>
              <w:spacing w:line="231" w:lineRule="exact"/>
              <w:ind w:left="472"/>
              <w:rPr>
                <w:sz w:val="22"/>
              </w:rPr>
            </w:pPr>
            <w:r>
              <w:rPr>
                <w:sz w:val="22"/>
              </w:rPr>
              <w:t>382,59</w:t>
            </w:r>
          </w:p>
        </w:tc>
      </w:tr>
      <w:tr>
        <w:trPr>
          <w:trHeight w:val="253" w:hRule="atLeast"/>
        </w:trPr>
        <w:tc>
          <w:tcPr>
            <w:tcW w:w="2804" w:type="dxa"/>
            <w:tcBorders>
              <w:right w:val="nil"/>
            </w:tcBorders>
          </w:tcPr>
          <w:p>
            <w:pPr>
              <w:pStyle w:val="TableParagraph"/>
              <w:rPr>
                <w:b/>
                <w:sz w:val="22"/>
              </w:rPr>
            </w:pPr>
            <w:r>
              <w:rPr>
                <w:b/>
                <w:sz w:val="22"/>
              </w:rPr>
              <w:t>OSOR</w:t>
            </w:r>
          </w:p>
        </w:tc>
        <w:tc>
          <w:tcPr>
            <w:tcW w:w="777" w:type="dxa"/>
            <w:tcBorders>
              <w:left w:val="nil"/>
              <w:right w:val="nil"/>
            </w:tcBorders>
          </w:tcPr>
          <w:p>
            <w:pPr>
              <w:pStyle w:val="TableParagraph"/>
              <w:ind w:left="114"/>
              <w:rPr>
                <w:sz w:val="22"/>
              </w:rPr>
            </w:pPr>
            <w:r>
              <w:rPr>
                <w:w w:val="100"/>
                <w:sz w:val="22"/>
              </w:rPr>
              <w:t>0</w:t>
            </w:r>
          </w:p>
        </w:tc>
        <w:tc>
          <w:tcPr>
            <w:tcW w:w="1552" w:type="dxa"/>
            <w:tcBorders>
              <w:left w:val="nil"/>
            </w:tcBorders>
          </w:tcPr>
          <w:p>
            <w:pPr>
              <w:pStyle w:val="TableParagraph"/>
              <w:ind w:left="472"/>
              <w:rPr>
                <w:sz w:val="22"/>
              </w:rPr>
            </w:pPr>
            <w:r>
              <w:rPr>
                <w:sz w:val="22"/>
              </w:rPr>
              <w:t>382,59</w:t>
            </w:r>
          </w:p>
        </w:tc>
      </w:tr>
      <w:tr>
        <w:trPr>
          <w:trHeight w:val="253" w:hRule="atLeast"/>
        </w:trPr>
        <w:tc>
          <w:tcPr>
            <w:tcW w:w="2804" w:type="dxa"/>
            <w:tcBorders>
              <w:right w:val="nil"/>
            </w:tcBorders>
            <w:shd w:val="clear" w:color="auto" w:fill="E6EDD4"/>
          </w:tcPr>
          <w:p>
            <w:pPr>
              <w:pStyle w:val="TableParagraph"/>
              <w:rPr>
                <w:b/>
                <w:sz w:val="22"/>
              </w:rPr>
            </w:pPr>
            <w:r>
              <w:rPr>
                <w:b/>
                <w:sz w:val="22"/>
              </w:rPr>
              <w:t>TAVERTET</w:t>
            </w:r>
          </w:p>
        </w:tc>
        <w:tc>
          <w:tcPr>
            <w:tcW w:w="777" w:type="dxa"/>
            <w:tcBorders>
              <w:left w:val="nil"/>
              <w:right w:val="nil"/>
            </w:tcBorders>
            <w:shd w:val="clear" w:color="auto" w:fill="E6EDD4"/>
          </w:tcPr>
          <w:p>
            <w:pPr>
              <w:pStyle w:val="TableParagraph"/>
              <w:ind w:left="114"/>
              <w:rPr>
                <w:sz w:val="22"/>
              </w:rPr>
            </w:pPr>
            <w:r>
              <w:rPr>
                <w:w w:val="100"/>
                <w:sz w:val="22"/>
              </w:rPr>
              <w:t>0</w:t>
            </w:r>
          </w:p>
        </w:tc>
        <w:tc>
          <w:tcPr>
            <w:tcW w:w="1552" w:type="dxa"/>
            <w:tcBorders>
              <w:left w:val="nil"/>
            </w:tcBorders>
            <w:shd w:val="clear" w:color="auto" w:fill="E6EDD4"/>
          </w:tcPr>
          <w:p>
            <w:pPr>
              <w:pStyle w:val="TableParagraph"/>
              <w:ind w:left="472"/>
              <w:rPr>
                <w:sz w:val="22"/>
              </w:rPr>
            </w:pPr>
            <w:r>
              <w:rPr>
                <w:sz w:val="22"/>
              </w:rPr>
              <w:t>382,59</w:t>
            </w:r>
          </w:p>
        </w:tc>
      </w:tr>
      <w:tr>
        <w:trPr>
          <w:trHeight w:val="253" w:hRule="atLeast"/>
        </w:trPr>
        <w:tc>
          <w:tcPr>
            <w:tcW w:w="2804" w:type="dxa"/>
            <w:tcBorders>
              <w:right w:val="nil"/>
            </w:tcBorders>
          </w:tcPr>
          <w:p>
            <w:pPr>
              <w:pStyle w:val="TableParagraph"/>
              <w:rPr>
                <w:b/>
                <w:sz w:val="22"/>
              </w:rPr>
            </w:pPr>
            <w:r>
              <w:rPr>
                <w:b/>
                <w:sz w:val="22"/>
              </w:rPr>
              <w:t>ST. JOAN DE MOLLET</w:t>
            </w:r>
          </w:p>
        </w:tc>
        <w:tc>
          <w:tcPr>
            <w:tcW w:w="777" w:type="dxa"/>
            <w:tcBorders>
              <w:left w:val="nil"/>
              <w:right w:val="nil"/>
            </w:tcBorders>
          </w:tcPr>
          <w:p>
            <w:pPr>
              <w:pStyle w:val="TableParagraph"/>
              <w:ind w:left="114"/>
              <w:rPr>
                <w:sz w:val="22"/>
              </w:rPr>
            </w:pPr>
            <w:r>
              <w:rPr>
                <w:w w:val="100"/>
                <w:sz w:val="22"/>
              </w:rPr>
              <w:t>0</w:t>
            </w:r>
          </w:p>
        </w:tc>
        <w:tc>
          <w:tcPr>
            <w:tcW w:w="1552" w:type="dxa"/>
            <w:tcBorders>
              <w:left w:val="nil"/>
            </w:tcBorders>
          </w:tcPr>
          <w:p>
            <w:pPr>
              <w:pStyle w:val="TableParagraph"/>
              <w:ind w:left="472"/>
              <w:rPr>
                <w:sz w:val="22"/>
              </w:rPr>
            </w:pPr>
            <w:r>
              <w:rPr>
                <w:sz w:val="22"/>
              </w:rPr>
              <w:t>382,59</w:t>
            </w:r>
          </w:p>
        </w:tc>
      </w:tr>
      <w:tr>
        <w:trPr>
          <w:trHeight w:val="251" w:hRule="atLeast"/>
        </w:trPr>
        <w:tc>
          <w:tcPr>
            <w:tcW w:w="2804" w:type="dxa"/>
            <w:tcBorders>
              <w:right w:val="nil"/>
            </w:tcBorders>
            <w:shd w:val="clear" w:color="auto" w:fill="E6EDD4"/>
          </w:tcPr>
          <w:p>
            <w:pPr>
              <w:pStyle w:val="TableParagraph"/>
              <w:spacing w:line="231" w:lineRule="exact"/>
              <w:rPr>
                <w:b/>
                <w:sz w:val="22"/>
              </w:rPr>
            </w:pPr>
            <w:r>
              <w:rPr>
                <w:b/>
                <w:sz w:val="22"/>
              </w:rPr>
              <w:t>SUSQUEDA</w:t>
            </w:r>
          </w:p>
        </w:tc>
        <w:tc>
          <w:tcPr>
            <w:tcW w:w="777" w:type="dxa"/>
            <w:tcBorders>
              <w:left w:val="nil"/>
              <w:right w:val="nil"/>
            </w:tcBorders>
            <w:shd w:val="clear" w:color="auto" w:fill="E6EDD4"/>
          </w:tcPr>
          <w:p>
            <w:pPr>
              <w:pStyle w:val="TableParagraph"/>
              <w:spacing w:line="231" w:lineRule="exact"/>
              <w:ind w:left="114"/>
              <w:rPr>
                <w:sz w:val="22"/>
              </w:rPr>
            </w:pPr>
            <w:r>
              <w:rPr>
                <w:w w:val="100"/>
                <w:sz w:val="22"/>
              </w:rPr>
              <w:t>0</w:t>
            </w:r>
          </w:p>
        </w:tc>
        <w:tc>
          <w:tcPr>
            <w:tcW w:w="1552" w:type="dxa"/>
            <w:tcBorders>
              <w:left w:val="nil"/>
            </w:tcBorders>
            <w:shd w:val="clear" w:color="auto" w:fill="E6EDD4"/>
          </w:tcPr>
          <w:p>
            <w:pPr>
              <w:pStyle w:val="TableParagraph"/>
              <w:spacing w:line="231" w:lineRule="exact"/>
              <w:ind w:left="472"/>
              <w:rPr>
                <w:sz w:val="22"/>
              </w:rPr>
            </w:pPr>
            <w:r>
              <w:rPr>
                <w:sz w:val="22"/>
              </w:rPr>
              <w:t>382,59</w:t>
            </w:r>
          </w:p>
        </w:tc>
      </w:tr>
      <w:tr>
        <w:trPr>
          <w:trHeight w:val="254" w:hRule="atLeast"/>
        </w:trPr>
        <w:tc>
          <w:tcPr>
            <w:tcW w:w="2804" w:type="dxa"/>
            <w:tcBorders>
              <w:right w:val="nil"/>
            </w:tcBorders>
          </w:tcPr>
          <w:p>
            <w:pPr>
              <w:pStyle w:val="TableParagraph"/>
              <w:rPr>
                <w:b/>
                <w:sz w:val="22"/>
              </w:rPr>
            </w:pPr>
            <w:r>
              <w:rPr>
                <w:b/>
                <w:sz w:val="22"/>
              </w:rPr>
              <w:t>VILALLONGA DE TER</w:t>
            </w:r>
          </w:p>
        </w:tc>
        <w:tc>
          <w:tcPr>
            <w:tcW w:w="777" w:type="dxa"/>
            <w:tcBorders>
              <w:left w:val="nil"/>
              <w:right w:val="nil"/>
            </w:tcBorders>
          </w:tcPr>
          <w:p>
            <w:pPr>
              <w:pStyle w:val="TableParagraph"/>
              <w:ind w:left="114"/>
              <w:rPr>
                <w:sz w:val="22"/>
              </w:rPr>
            </w:pPr>
            <w:r>
              <w:rPr>
                <w:w w:val="100"/>
                <w:sz w:val="22"/>
              </w:rPr>
              <w:t>0</w:t>
            </w:r>
          </w:p>
        </w:tc>
        <w:tc>
          <w:tcPr>
            <w:tcW w:w="1552" w:type="dxa"/>
            <w:tcBorders>
              <w:left w:val="nil"/>
            </w:tcBorders>
          </w:tcPr>
          <w:p>
            <w:pPr>
              <w:pStyle w:val="TableParagraph"/>
              <w:ind w:left="472"/>
              <w:rPr>
                <w:sz w:val="22"/>
              </w:rPr>
            </w:pPr>
            <w:r>
              <w:rPr>
                <w:sz w:val="22"/>
              </w:rPr>
              <w:t>382,59</w:t>
            </w:r>
          </w:p>
        </w:tc>
      </w:tr>
      <w:tr>
        <w:trPr>
          <w:trHeight w:val="253" w:hRule="atLeast"/>
        </w:trPr>
        <w:tc>
          <w:tcPr>
            <w:tcW w:w="2804" w:type="dxa"/>
            <w:tcBorders>
              <w:right w:val="nil"/>
            </w:tcBorders>
            <w:shd w:val="clear" w:color="auto" w:fill="E6EDD4"/>
          </w:tcPr>
          <w:p>
            <w:pPr>
              <w:pStyle w:val="TableParagraph"/>
              <w:rPr>
                <w:b/>
                <w:sz w:val="22"/>
              </w:rPr>
            </w:pPr>
            <w:r>
              <w:rPr>
                <w:b/>
                <w:sz w:val="22"/>
              </w:rPr>
              <w:t>VILANOVA DE SAU</w:t>
            </w:r>
          </w:p>
        </w:tc>
        <w:tc>
          <w:tcPr>
            <w:tcW w:w="777" w:type="dxa"/>
            <w:tcBorders>
              <w:left w:val="nil"/>
              <w:right w:val="nil"/>
            </w:tcBorders>
            <w:shd w:val="clear" w:color="auto" w:fill="E6EDD4"/>
          </w:tcPr>
          <w:p>
            <w:pPr>
              <w:pStyle w:val="TableParagraph"/>
              <w:ind w:left="114"/>
              <w:rPr>
                <w:sz w:val="22"/>
              </w:rPr>
            </w:pPr>
            <w:r>
              <w:rPr>
                <w:w w:val="100"/>
                <w:sz w:val="22"/>
              </w:rPr>
              <w:t>0</w:t>
            </w:r>
          </w:p>
        </w:tc>
        <w:tc>
          <w:tcPr>
            <w:tcW w:w="1552" w:type="dxa"/>
            <w:tcBorders>
              <w:left w:val="nil"/>
            </w:tcBorders>
            <w:shd w:val="clear" w:color="auto" w:fill="E6EDD4"/>
          </w:tcPr>
          <w:p>
            <w:pPr>
              <w:pStyle w:val="TableParagraph"/>
              <w:ind w:left="472"/>
              <w:rPr>
                <w:sz w:val="22"/>
              </w:rPr>
            </w:pPr>
            <w:r>
              <w:rPr>
                <w:sz w:val="22"/>
              </w:rPr>
              <w:t>382,59</w:t>
            </w:r>
          </w:p>
        </w:tc>
      </w:tr>
      <w:tr>
        <w:trPr>
          <w:trHeight w:val="253" w:hRule="atLeast"/>
        </w:trPr>
        <w:tc>
          <w:tcPr>
            <w:tcW w:w="2804" w:type="dxa"/>
            <w:tcBorders>
              <w:right w:val="nil"/>
            </w:tcBorders>
          </w:tcPr>
          <w:p>
            <w:pPr>
              <w:pStyle w:val="TableParagraph"/>
              <w:rPr>
                <w:b/>
                <w:sz w:val="22"/>
              </w:rPr>
            </w:pPr>
            <w:r>
              <w:rPr>
                <w:b/>
                <w:sz w:val="22"/>
              </w:rPr>
              <w:t>TAVÈRNOLES</w:t>
            </w:r>
          </w:p>
        </w:tc>
        <w:tc>
          <w:tcPr>
            <w:tcW w:w="777" w:type="dxa"/>
            <w:tcBorders>
              <w:left w:val="nil"/>
              <w:right w:val="nil"/>
            </w:tcBorders>
          </w:tcPr>
          <w:p>
            <w:pPr>
              <w:pStyle w:val="TableParagraph"/>
              <w:ind w:left="114"/>
              <w:rPr>
                <w:sz w:val="22"/>
              </w:rPr>
            </w:pPr>
            <w:r>
              <w:rPr>
                <w:w w:val="100"/>
                <w:sz w:val="22"/>
              </w:rPr>
              <w:t>0</w:t>
            </w:r>
          </w:p>
        </w:tc>
        <w:tc>
          <w:tcPr>
            <w:tcW w:w="1552" w:type="dxa"/>
            <w:tcBorders>
              <w:left w:val="nil"/>
            </w:tcBorders>
          </w:tcPr>
          <w:p>
            <w:pPr>
              <w:pStyle w:val="TableParagraph"/>
              <w:ind w:left="472"/>
              <w:rPr>
                <w:sz w:val="22"/>
              </w:rPr>
            </w:pPr>
            <w:r>
              <w:rPr>
                <w:sz w:val="22"/>
              </w:rPr>
              <w:t>382,59</w:t>
            </w:r>
          </w:p>
        </w:tc>
      </w:tr>
      <w:tr>
        <w:trPr>
          <w:trHeight w:val="251" w:hRule="atLeast"/>
        </w:trPr>
        <w:tc>
          <w:tcPr>
            <w:tcW w:w="2804" w:type="dxa"/>
            <w:tcBorders>
              <w:right w:val="nil"/>
            </w:tcBorders>
            <w:shd w:val="clear" w:color="auto" w:fill="E6EDD4"/>
          </w:tcPr>
          <w:p>
            <w:pPr>
              <w:pStyle w:val="TableParagraph"/>
              <w:spacing w:line="231" w:lineRule="exact"/>
              <w:rPr>
                <w:b/>
                <w:sz w:val="22"/>
              </w:rPr>
            </w:pPr>
            <w:r>
              <w:rPr>
                <w:b/>
                <w:sz w:val="22"/>
              </w:rPr>
              <w:t>PARDINES</w:t>
            </w:r>
          </w:p>
        </w:tc>
        <w:tc>
          <w:tcPr>
            <w:tcW w:w="777" w:type="dxa"/>
            <w:tcBorders>
              <w:left w:val="nil"/>
              <w:right w:val="nil"/>
            </w:tcBorders>
            <w:shd w:val="clear" w:color="auto" w:fill="E6EDD4"/>
          </w:tcPr>
          <w:p>
            <w:pPr>
              <w:pStyle w:val="TableParagraph"/>
              <w:spacing w:line="231" w:lineRule="exact"/>
              <w:ind w:left="114"/>
              <w:rPr>
                <w:sz w:val="22"/>
              </w:rPr>
            </w:pPr>
            <w:r>
              <w:rPr>
                <w:sz w:val="22"/>
              </w:rPr>
              <w:t>0*</w:t>
            </w:r>
          </w:p>
        </w:tc>
        <w:tc>
          <w:tcPr>
            <w:tcW w:w="1552" w:type="dxa"/>
            <w:tcBorders>
              <w:left w:val="nil"/>
            </w:tcBorders>
            <w:shd w:val="clear" w:color="auto" w:fill="E6EDD4"/>
          </w:tcPr>
          <w:p>
            <w:pPr>
              <w:pStyle w:val="TableParagraph"/>
              <w:spacing w:line="231" w:lineRule="exact"/>
              <w:ind w:left="472"/>
              <w:rPr>
                <w:sz w:val="22"/>
              </w:rPr>
            </w:pPr>
            <w:r>
              <w:rPr>
                <w:sz w:val="22"/>
              </w:rPr>
              <w:t>191,30</w:t>
            </w:r>
          </w:p>
        </w:tc>
      </w:tr>
      <w:tr>
        <w:trPr>
          <w:trHeight w:val="253" w:hRule="atLeast"/>
        </w:trPr>
        <w:tc>
          <w:tcPr>
            <w:tcW w:w="2804" w:type="dxa"/>
            <w:tcBorders>
              <w:right w:val="nil"/>
            </w:tcBorders>
          </w:tcPr>
          <w:p>
            <w:pPr>
              <w:pStyle w:val="TableParagraph"/>
              <w:rPr>
                <w:b/>
                <w:sz w:val="22"/>
              </w:rPr>
            </w:pPr>
            <w:r>
              <w:rPr>
                <w:b/>
                <w:sz w:val="22"/>
              </w:rPr>
              <w:t>MOLLÓ</w:t>
            </w:r>
          </w:p>
        </w:tc>
        <w:tc>
          <w:tcPr>
            <w:tcW w:w="777" w:type="dxa"/>
            <w:tcBorders>
              <w:left w:val="nil"/>
              <w:right w:val="nil"/>
            </w:tcBorders>
          </w:tcPr>
          <w:p>
            <w:pPr>
              <w:pStyle w:val="TableParagraph"/>
              <w:ind w:left="114"/>
              <w:rPr>
                <w:sz w:val="22"/>
              </w:rPr>
            </w:pPr>
            <w:r>
              <w:rPr>
                <w:sz w:val="22"/>
              </w:rPr>
              <w:t>0*</w:t>
            </w:r>
          </w:p>
        </w:tc>
        <w:tc>
          <w:tcPr>
            <w:tcW w:w="1552" w:type="dxa"/>
            <w:tcBorders>
              <w:left w:val="nil"/>
            </w:tcBorders>
          </w:tcPr>
          <w:p>
            <w:pPr>
              <w:pStyle w:val="TableParagraph"/>
              <w:ind w:left="472"/>
              <w:rPr>
                <w:sz w:val="22"/>
              </w:rPr>
            </w:pPr>
            <w:r>
              <w:rPr>
                <w:sz w:val="22"/>
              </w:rPr>
              <w:t>191,30</w:t>
            </w:r>
          </w:p>
        </w:tc>
      </w:tr>
      <w:tr>
        <w:trPr>
          <w:trHeight w:val="505" w:hRule="atLeast"/>
        </w:trPr>
        <w:tc>
          <w:tcPr>
            <w:tcW w:w="2804" w:type="dxa"/>
            <w:tcBorders>
              <w:right w:val="nil"/>
            </w:tcBorders>
            <w:shd w:val="clear" w:color="auto" w:fill="E6EDD4"/>
          </w:tcPr>
          <w:p>
            <w:pPr>
              <w:pStyle w:val="TableParagraph"/>
              <w:tabs>
                <w:tab w:pos="1206" w:val="left" w:leader="none"/>
                <w:tab w:pos="2386" w:val="left" w:leader="none"/>
              </w:tabs>
              <w:spacing w:line="248" w:lineRule="exact"/>
              <w:rPr>
                <w:b/>
                <w:sz w:val="22"/>
              </w:rPr>
            </w:pPr>
            <w:r>
              <w:rPr>
                <w:b/>
                <w:sz w:val="22"/>
              </w:rPr>
              <w:t>SANT</w:t>
              <w:tab/>
              <w:t>ANIOL</w:t>
              <w:tab/>
              <w:t>DE</w:t>
            </w:r>
          </w:p>
          <w:p>
            <w:pPr>
              <w:pStyle w:val="TableParagraph"/>
              <w:spacing w:line="236" w:lineRule="exact" w:before="1"/>
              <w:rPr>
                <w:b/>
                <w:sz w:val="22"/>
              </w:rPr>
            </w:pPr>
            <w:r>
              <w:rPr>
                <w:b/>
                <w:sz w:val="22"/>
              </w:rPr>
              <w:t>FINESTRES</w:t>
            </w:r>
          </w:p>
        </w:tc>
        <w:tc>
          <w:tcPr>
            <w:tcW w:w="777" w:type="dxa"/>
            <w:tcBorders>
              <w:left w:val="nil"/>
              <w:right w:val="nil"/>
            </w:tcBorders>
            <w:shd w:val="clear" w:color="auto" w:fill="E6EDD4"/>
          </w:tcPr>
          <w:p>
            <w:pPr>
              <w:pStyle w:val="TableParagraph"/>
              <w:spacing w:line="250" w:lineRule="exact"/>
              <w:ind w:left="114"/>
              <w:rPr>
                <w:sz w:val="22"/>
              </w:rPr>
            </w:pPr>
            <w:r>
              <w:rPr>
                <w:sz w:val="22"/>
              </w:rPr>
              <w:t>0*</w:t>
            </w:r>
          </w:p>
        </w:tc>
        <w:tc>
          <w:tcPr>
            <w:tcW w:w="1552" w:type="dxa"/>
            <w:tcBorders>
              <w:left w:val="nil"/>
            </w:tcBorders>
            <w:shd w:val="clear" w:color="auto" w:fill="E6EDD4"/>
          </w:tcPr>
          <w:p>
            <w:pPr>
              <w:pStyle w:val="TableParagraph"/>
              <w:spacing w:line="250" w:lineRule="exact"/>
              <w:ind w:left="472"/>
              <w:rPr>
                <w:sz w:val="22"/>
              </w:rPr>
            </w:pPr>
            <w:r>
              <w:rPr>
                <w:sz w:val="22"/>
              </w:rPr>
              <w:t>191,30</w:t>
            </w:r>
          </w:p>
        </w:tc>
      </w:tr>
      <w:tr>
        <w:trPr>
          <w:trHeight w:val="253" w:hRule="atLeast"/>
        </w:trPr>
        <w:tc>
          <w:tcPr>
            <w:tcW w:w="2804" w:type="dxa"/>
            <w:tcBorders>
              <w:right w:val="nil"/>
            </w:tcBorders>
          </w:tcPr>
          <w:p>
            <w:pPr>
              <w:pStyle w:val="TableParagraph"/>
              <w:rPr>
                <w:b/>
                <w:sz w:val="22"/>
              </w:rPr>
            </w:pPr>
            <w:r>
              <w:rPr>
                <w:b/>
                <w:sz w:val="22"/>
              </w:rPr>
              <w:t>LLANARS</w:t>
            </w:r>
          </w:p>
        </w:tc>
        <w:tc>
          <w:tcPr>
            <w:tcW w:w="777" w:type="dxa"/>
            <w:tcBorders>
              <w:left w:val="nil"/>
              <w:right w:val="nil"/>
            </w:tcBorders>
          </w:tcPr>
          <w:p>
            <w:pPr>
              <w:pStyle w:val="TableParagraph"/>
              <w:ind w:left="114"/>
              <w:rPr>
                <w:sz w:val="22"/>
              </w:rPr>
            </w:pPr>
            <w:r>
              <w:rPr>
                <w:w w:val="100"/>
                <w:sz w:val="22"/>
              </w:rPr>
              <w:t>1</w:t>
            </w:r>
          </w:p>
        </w:tc>
        <w:tc>
          <w:tcPr>
            <w:tcW w:w="1552" w:type="dxa"/>
            <w:tcBorders>
              <w:left w:val="nil"/>
            </w:tcBorders>
          </w:tcPr>
          <w:p>
            <w:pPr>
              <w:pStyle w:val="TableParagraph"/>
              <w:ind w:left="472"/>
              <w:rPr>
                <w:sz w:val="22"/>
              </w:rPr>
            </w:pPr>
            <w:r>
              <w:rPr>
                <w:sz w:val="22"/>
              </w:rPr>
              <w:t>579,09</w:t>
            </w:r>
          </w:p>
        </w:tc>
      </w:tr>
      <w:tr>
        <w:trPr>
          <w:trHeight w:val="253" w:hRule="atLeast"/>
        </w:trPr>
        <w:tc>
          <w:tcPr>
            <w:tcW w:w="2804" w:type="dxa"/>
            <w:tcBorders>
              <w:right w:val="nil"/>
            </w:tcBorders>
            <w:shd w:val="clear" w:color="auto" w:fill="E6EDD4"/>
          </w:tcPr>
          <w:p>
            <w:pPr>
              <w:pStyle w:val="TableParagraph"/>
              <w:rPr>
                <w:b/>
                <w:sz w:val="22"/>
              </w:rPr>
            </w:pPr>
            <w:r>
              <w:rPr>
                <w:b/>
                <w:sz w:val="22"/>
              </w:rPr>
              <w:t>ST. JORDI DESVALLS</w:t>
            </w:r>
          </w:p>
        </w:tc>
        <w:tc>
          <w:tcPr>
            <w:tcW w:w="777" w:type="dxa"/>
            <w:tcBorders>
              <w:left w:val="nil"/>
              <w:right w:val="nil"/>
            </w:tcBorders>
            <w:shd w:val="clear" w:color="auto" w:fill="E6EDD4"/>
          </w:tcPr>
          <w:p>
            <w:pPr>
              <w:pStyle w:val="TableParagraph"/>
              <w:ind w:left="114"/>
              <w:rPr>
                <w:sz w:val="22"/>
              </w:rPr>
            </w:pPr>
            <w:r>
              <w:rPr>
                <w:w w:val="100"/>
                <w:sz w:val="22"/>
              </w:rPr>
              <w:t>1</w:t>
            </w:r>
          </w:p>
        </w:tc>
        <w:tc>
          <w:tcPr>
            <w:tcW w:w="1552" w:type="dxa"/>
            <w:tcBorders>
              <w:left w:val="nil"/>
            </w:tcBorders>
            <w:shd w:val="clear" w:color="auto" w:fill="E6EDD4"/>
          </w:tcPr>
          <w:p>
            <w:pPr>
              <w:pStyle w:val="TableParagraph"/>
              <w:ind w:left="472"/>
              <w:rPr>
                <w:sz w:val="22"/>
              </w:rPr>
            </w:pPr>
            <w:r>
              <w:rPr>
                <w:sz w:val="22"/>
              </w:rPr>
              <w:t>579,09</w:t>
            </w:r>
          </w:p>
        </w:tc>
      </w:tr>
      <w:tr>
        <w:trPr>
          <w:trHeight w:val="253" w:hRule="atLeast"/>
        </w:trPr>
        <w:tc>
          <w:tcPr>
            <w:tcW w:w="2804" w:type="dxa"/>
            <w:tcBorders>
              <w:right w:val="nil"/>
            </w:tcBorders>
          </w:tcPr>
          <w:p>
            <w:pPr>
              <w:pStyle w:val="TableParagraph"/>
              <w:rPr>
                <w:b/>
                <w:sz w:val="22"/>
              </w:rPr>
            </w:pPr>
            <w:r>
              <w:rPr>
                <w:b/>
                <w:sz w:val="22"/>
              </w:rPr>
              <w:t>ST. PAU DE SEGÚRIES</w:t>
            </w:r>
          </w:p>
        </w:tc>
        <w:tc>
          <w:tcPr>
            <w:tcW w:w="777" w:type="dxa"/>
            <w:tcBorders>
              <w:left w:val="nil"/>
              <w:right w:val="nil"/>
            </w:tcBorders>
          </w:tcPr>
          <w:p>
            <w:pPr>
              <w:pStyle w:val="TableParagraph"/>
              <w:ind w:left="114"/>
              <w:rPr>
                <w:sz w:val="22"/>
              </w:rPr>
            </w:pPr>
            <w:r>
              <w:rPr>
                <w:w w:val="100"/>
                <w:sz w:val="22"/>
              </w:rPr>
              <w:t>1</w:t>
            </w:r>
          </w:p>
        </w:tc>
        <w:tc>
          <w:tcPr>
            <w:tcW w:w="1552" w:type="dxa"/>
            <w:tcBorders>
              <w:left w:val="nil"/>
            </w:tcBorders>
          </w:tcPr>
          <w:p>
            <w:pPr>
              <w:pStyle w:val="TableParagraph"/>
              <w:ind w:left="472"/>
              <w:rPr>
                <w:sz w:val="22"/>
              </w:rPr>
            </w:pPr>
            <w:r>
              <w:rPr>
                <w:sz w:val="22"/>
              </w:rPr>
              <w:t>579,09</w:t>
            </w:r>
          </w:p>
        </w:tc>
      </w:tr>
      <w:tr>
        <w:trPr>
          <w:trHeight w:val="251" w:hRule="atLeast"/>
        </w:trPr>
        <w:tc>
          <w:tcPr>
            <w:tcW w:w="2804" w:type="dxa"/>
            <w:tcBorders>
              <w:right w:val="nil"/>
            </w:tcBorders>
            <w:shd w:val="clear" w:color="auto" w:fill="E6EDD4"/>
          </w:tcPr>
          <w:p>
            <w:pPr>
              <w:pStyle w:val="TableParagraph"/>
              <w:spacing w:line="231" w:lineRule="exact"/>
              <w:rPr>
                <w:b/>
                <w:sz w:val="22"/>
              </w:rPr>
            </w:pPr>
            <w:r>
              <w:rPr>
                <w:b/>
                <w:sz w:val="22"/>
              </w:rPr>
              <w:t>CERVIÀ DE TER</w:t>
            </w:r>
          </w:p>
        </w:tc>
        <w:tc>
          <w:tcPr>
            <w:tcW w:w="777" w:type="dxa"/>
            <w:tcBorders>
              <w:left w:val="nil"/>
              <w:right w:val="nil"/>
            </w:tcBorders>
            <w:shd w:val="clear" w:color="auto" w:fill="E6EDD4"/>
          </w:tcPr>
          <w:p>
            <w:pPr>
              <w:pStyle w:val="TableParagraph"/>
              <w:spacing w:line="231" w:lineRule="exact"/>
              <w:ind w:left="114"/>
              <w:rPr>
                <w:sz w:val="22"/>
              </w:rPr>
            </w:pPr>
            <w:r>
              <w:rPr>
                <w:w w:val="100"/>
                <w:sz w:val="22"/>
              </w:rPr>
              <w:t>1</w:t>
            </w:r>
          </w:p>
        </w:tc>
        <w:tc>
          <w:tcPr>
            <w:tcW w:w="1552" w:type="dxa"/>
            <w:tcBorders>
              <w:left w:val="nil"/>
            </w:tcBorders>
            <w:shd w:val="clear" w:color="auto" w:fill="E6EDD4"/>
          </w:tcPr>
          <w:p>
            <w:pPr>
              <w:pStyle w:val="TableParagraph"/>
              <w:spacing w:line="231" w:lineRule="exact"/>
              <w:ind w:left="472"/>
              <w:rPr>
                <w:sz w:val="22"/>
              </w:rPr>
            </w:pPr>
            <w:r>
              <w:rPr>
                <w:sz w:val="22"/>
              </w:rPr>
              <w:t>579,09</w:t>
            </w:r>
          </w:p>
        </w:tc>
      </w:tr>
      <w:tr>
        <w:trPr>
          <w:trHeight w:val="253" w:hRule="atLeast"/>
        </w:trPr>
        <w:tc>
          <w:tcPr>
            <w:tcW w:w="2804" w:type="dxa"/>
            <w:tcBorders>
              <w:right w:val="nil"/>
            </w:tcBorders>
          </w:tcPr>
          <w:p>
            <w:pPr>
              <w:pStyle w:val="TableParagraph"/>
              <w:rPr>
                <w:b/>
                <w:sz w:val="22"/>
              </w:rPr>
            </w:pPr>
            <w:r>
              <w:rPr>
                <w:b/>
                <w:sz w:val="22"/>
              </w:rPr>
              <w:t>LES MASIES DE RODA</w:t>
            </w:r>
          </w:p>
        </w:tc>
        <w:tc>
          <w:tcPr>
            <w:tcW w:w="777" w:type="dxa"/>
            <w:tcBorders>
              <w:left w:val="nil"/>
              <w:right w:val="nil"/>
            </w:tcBorders>
          </w:tcPr>
          <w:p>
            <w:pPr>
              <w:pStyle w:val="TableParagraph"/>
              <w:ind w:left="114"/>
              <w:rPr>
                <w:sz w:val="22"/>
              </w:rPr>
            </w:pPr>
            <w:r>
              <w:rPr>
                <w:w w:val="100"/>
                <w:sz w:val="22"/>
              </w:rPr>
              <w:t>1</w:t>
            </w:r>
          </w:p>
        </w:tc>
        <w:tc>
          <w:tcPr>
            <w:tcW w:w="1552" w:type="dxa"/>
            <w:tcBorders>
              <w:left w:val="nil"/>
            </w:tcBorders>
          </w:tcPr>
          <w:p>
            <w:pPr>
              <w:pStyle w:val="TableParagraph"/>
              <w:ind w:left="472"/>
              <w:rPr>
                <w:sz w:val="22"/>
              </w:rPr>
            </w:pPr>
            <w:r>
              <w:rPr>
                <w:sz w:val="22"/>
              </w:rPr>
              <w:t>579,09</w:t>
            </w:r>
          </w:p>
        </w:tc>
      </w:tr>
      <w:tr>
        <w:trPr>
          <w:trHeight w:val="254" w:hRule="atLeast"/>
        </w:trPr>
        <w:tc>
          <w:tcPr>
            <w:tcW w:w="2804" w:type="dxa"/>
            <w:tcBorders>
              <w:right w:val="nil"/>
            </w:tcBorders>
            <w:shd w:val="clear" w:color="auto" w:fill="E6EDD4"/>
          </w:tcPr>
          <w:p>
            <w:pPr>
              <w:pStyle w:val="TableParagraph"/>
              <w:rPr>
                <w:b/>
                <w:sz w:val="22"/>
              </w:rPr>
            </w:pPr>
            <w:r>
              <w:rPr>
                <w:b/>
                <w:sz w:val="22"/>
              </w:rPr>
              <w:t>MONTESQUIU</w:t>
            </w:r>
          </w:p>
        </w:tc>
        <w:tc>
          <w:tcPr>
            <w:tcW w:w="777" w:type="dxa"/>
            <w:tcBorders>
              <w:left w:val="nil"/>
              <w:right w:val="nil"/>
            </w:tcBorders>
            <w:shd w:val="clear" w:color="auto" w:fill="E6EDD4"/>
          </w:tcPr>
          <w:p>
            <w:pPr>
              <w:pStyle w:val="TableParagraph"/>
              <w:ind w:left="114"/>
              <w:rPr>
                <w:sz w:val="22"/>
              </w:rPr>
            </w:pPr>
            <w:r>
              <w:rPr>
                <w:w w:val="100"/>
                <w:sz w:val="22"/>
              </w:rPr>
              <w:t>1</w:t>
            </w:r>
          </w:p>
        </w:tc>
        <w:tc>
          <w:tcPr>
            <w:tcW w:w="1552" w:type="dxa"/>
            <w:tcBorders>
              <w:left w:val="nil"/>
            </w:tcBorders>
            <w:shd w:val="clear" w:color="auto" w:fill="E6EDD4"/>
          </w:tcPr>
          <w:p>
            <w:pPr>
              <w:pStyle w:val="TableParagraph"/>
              <w:ind w:left="472"/>
              <w:rPr>
                <w:sz w:val="22"/>
              </w:rPr>
            </w:pPr>
            <w:r>
              <w:rPr>
                <w:sz w:val="22"/>
              </w:rPr>
              <w:t>579,09</w:t>
            </w:r>
          </w:p>
        </w:tc>
      </w:tr>
      <w:tr>
        <w:trPr>
          <w:trHeight w:val="251" w:hRule="atLeast"/>
        </w:trPr>
        <w:tc>
          <w:tcPr>
            <w:tcW w:w="2804" w:type="dxa"/>
            <w:tcBorders>
              <w:right w:val="nil"/>
            </w:tcBorders>
          </w:tcPr>
          <w:p>
            <w:pPr>
              <w:pStyle w:val="TableParagraph"/>
              <w:spacing w:line="231" w:lineRule="exact"/>
              <w:rPr>
                <w:b/>
                <w:sz w:val="22"/>
              </w:rPr>
            </w:pPr>
            <w:r>
              <w:rPr>
                <w:b/>
                <w:sz w:val="22"/>
              </w:rPr>
              <w:t>CANET D’ADRI</w:t>
            </w:r>
          </w:p>
        </w:tc>
        <w:tc>
          <w:tcPr>
            <w:tcW w:w="777" w:type="dxa"/>
            <w:tcBorders>
              <w:left w:val="nil"/>
              <w:right w:val="nil"/>
            </w:tcBorders>
          </w:tcPr>
          <w:p>
            <w:pPr>
              <w:pStyle w:val="TableParagraph"/>
              <w:spacing w:line="231" w:lineRule="exact"/>
              <w:ind w:left="114"/>
              <w:rPr>
                <w:sz w:val="22"/>
              </w:rPr>
            </w:pPr>
            <w:r>
              <w:rPr>
                <w:sz w:val="22"/>
              </w:rPr>
              <w:t>1*</w:t>
            </w:r>
          </w:p>
        </w:tc>
        <w:tc>
          <w:tcPr>
            <w:tcW w:w="1552" w:type="dxa"/>
            <w:tcBorders>
              <w:left w:val="nil"/>
            </w:tcBorders>
          </w:tcPr>
          <w:p>
            <w:pPr>
              <w:pStyle w:val="TableParagraph"/>
              <w:spacing w:line="231" w:lineRule="exact"/>
              <w:ind w:left="472"/>
              <w:rPr>
                <w:sz w:val="22"/>
              </w:rPr>
            </w:pPr>
            <w:r>
              <w:rPr>
                <w:sz w:val="22"/>
              </w:rPr>
              <w:t>289,55</w:t>
            </w:r>
          </w:p>
        </w:tc>
      </w:tr>
      <w:tr>
        <w:trPr>
          <w:trHeight w:val="507" w:hRule="atLeast"/>
        </w:trPr>
        <w:tc>
          <w:tcPr>
            <w:tcW w:w="2804" w:type="dxa"/>
            <w:tcBorders>
              <w:right w:val="nil"/>
            </w:tcBorders>
            <w:shd w:val="clear" w:color="auto" w:fill="E6EDD4"/>
          </w:tcPr>
          <w:p>
            <w:pPr>
              <w:pStyle w:val="TableParagraph"/>
              <w:tabs>
                <w:tab w:pos="1196" w:val="left" w:leader="none"/>
                <w:tab w:pos="2383" w:val="left" w:leader="none"/>
              </w:tabs>
              <w:spacing w:line="252" w:lineRule="exact" w:before="2"/>
              <w:ind w:right="100"/>
              <w:rPr>
                <w:b/>
                <w:sz w:val="22"/>
              </w:rPr>
            </w:pPr>
            <w:r>
              <w:rPr>
                <w:b/>
                <w:sz w:val="22"/>
              </w:rPr>
              <w:t>SANT</w:t>
              <w:tab/>
              <w:t>MARTÍ</w:t>
              <w:tab/>
              <w:t>DE LLÉMENA</w:t>
            </w:r>
          </w:p>
        </w:tc>
        <w:tc>
          <w:tcPr>
            <w:tcW w:w="777" w:type="dxa"/>
            <w:tcBorders>
              <w:left w:val="nil"/>
              <w:right w:val="nil"/>
            </w:tcBorders>
            <w:shd w:val="clear" w:color="auto" w:fill="E6EDD4"/>
          </w:tcPr>
          <w:p>
            <w:pPr>
              <w:pStyle w:val="TableParagraph"/>
              <w:spacing w:line="253" w:lineRule="exact"/>
              <w:ind w:left="114"/>
              <w:rPr>
                <w:sz w:val="22"/>
              </w:rPr>
            </w:pPr>
            <w:r>
              <w:rPr>
                <w:sz w:val="22"/>
              </w:rPr>
              <w:t>1*</w:t>
            </w:r>
          </w:p>
        </w:tc>
        <w:tc>
          <w:tcPr>
            <w:tcW w:w="1552" w:type="dxa"/>
            <w:tcBorders>
              <w:left w:val="nil"/>
            </w:tcBorders>
            <w:shd w:val="clear" w:color="auto" w:fill="E6EDD4"/>
          </w:tcPr>
          <w:p>
            <w:pPr>
              <w:pStyle w:val="TableParagraph"/>
              <w:spacing w:line="253" w:lineRule="exact"/>
              <w:ind w:left="472"/>
              <w:rPr>
                <w:sz w:val="22"/>
              </w:rPr>
            </w:pPr>
            <w:r>
              <w:rPr>
                <w:sz w:val="22"/>
              </w:rPr>
              <w:t>289,55</w:t>
            </w:r>
          </w:p>
        </w:tc>
      </w:tr>
      <w:tr>
        <w:trPr>
          <w:trHeight w:val="251" w:hRule="atLeast"/>
        </w:trPr>
        <w:tc>
          <w:tcPr>
            <w:tcW w:w="2804" w:type="dxa"/>
            <w:tcBorders>
              <w:right w:val="nil"/>
            </w:tcBorders>
          </w:tcPr>
          <w:p>
            <w:pPr>
              <w:pStyle w:val="TableParagraph"/>
              <w:spacing w:line="231" w:lineRule="exact"/>
              <w:rPr>
                <w:b/>
                <w:sz w:val="22"/>
              </w:rPr>
            </w:pPr>
            <w:r>
              <w:rPr>
                <w:b/>
                <w:sz w:val="22"/>
              </w:rPr>
              <w:t>ULLÀ</w:t>
            </w:r>
          </w:p>
        </w:tc>
        <w:tc>
          <w:tcPr>
            <w:tcW w:w="777" w:type="dxa"/>
            <w:tcBorders>
              <w:left w:val="nil"/>
              <w:right w:val="nil"/>
            </w:tcBorders>
          </w:tcPr>
          <w:p>
            <w:pPr>
              <w:pStyle w:val="TableParagraph"/>
              <w:spacing w:line="231" w:lineRule="exact"/>
              <w:ind w:left="114"/>
              <w:rPr>
                <w:sz w:val="22"/>
              </w:rPr>
            </w:pPr>
            <w:r>
              <w:rPr>
                <w:w w:val="100"/>
                <w:sz w:val="22"/>
              </w:rPr>
              <w:t>2</w:t>
            </w:r>
          </w:p>
        </w:tc>
        <w:tc>
          <w:tcPr>
            <w:tcW w:w="1552" w:type="dxa"/>
            <w:tcBorders>
              <w:left w:val="nil"/>
            </w:tcBorders>
          </w:tcPr>
          <w:p>
            <w:pPr>
              <w:pStyle w:val="TableParagraph"/>
              <w:spacing w:line="231" w:lineRule="exact"/>
              <w:ind w:left="472"/>
              <w:rPr>
                <w:sz w:val="22"/>
              </w:rPr>
            </w:pPr>
            <w:r>
              <w:rPr>
                <w:sz w:val="22"/>
              </w:rPr>
              <w:t>1.168,61</w:t>
            </w:r>
          </w:p>
        </w:tc>
      </w:tr>
      <w:tr>
        <w:trPr>
          <w:trHeight w:val="253" w:hRule="atLeast"/>
        </w:trPr>
        <w:tc>
          <w:tcPr>
            <w:tcW w:w="2804" w:type="dxa"/>
            <w:tcBorders>
              <w:right w:val="nil"/>
            </w:tcBorders>
            <w:shd w:val="clear" w:color="auto" w:fill="E6EDD4"/>
          </w:tcPr>
          <w:p>
            <w:pPr>
              <w:pStyle w:val="TableParagraph"/>
              <w:rPr>
                <w:b/>
                <w:sz w:val="22"/>
              </w:rPr>
            </w:pPr>
            <w:r>
              <w:rPr>
                <w:b/>
                <w:sz w:val="22"/>
              </w:rPr>
              <w:t>FLAÇÀ</w:t>
            </w:r>
          </w:p>
        </w:tc>
        <w:tc>
          <w:tcPr>
            <w:tcW w:w="777" w:type="dxa"/>
            <w:tcBorders>
              <w:left w:val="nil"/>
              <w:right w:val="nil"/>
            </w:tcBorders>
            <w:shd w:val="clear" w:color="auto" w:fill="E6EDD4"/>
          </w:tcPr>
          <w:p>
            <w:pPr>
              <w:pStyle w:val="TableParagraph"/>
              <w:ind w:left="114"/>
              <w:rPr>
                <w:sz w:val="22"/>
              </w:rPr>
            </w:pPr>
            <w:r>
              <w:rPr>
                <w:w w:val="100"/>
                <w:sz w:val="22"/>
              </w:rPr>
              <w:t>2</w:t>
            </w:r>
          </w:p>
        </w:tc>
        <w:tc>
          <w:tcPr>
            <w:tcW w:w="1552" w:type="dxa"/>
            <w:tcBorders>
              <w:left w:val="nil"/>
            </w:tcBorders>
            <w:shd w:val="clear" w:color="auto" w:fill="E6EDD4"/>
          </w:tcPr>
          <w:p>
            <w:pPr>
              <w:pStyle w:val="TableParagraph"/>
              <w:ind w:left="472"/>
              <w:rPr>
                <w:sz w:val="22"/>
              </w:rPr>
            </w:pPr>
            <w:r>
              <w:rPr>
                <w:sz w:val="22"/>
              </w:rPr>
              <w:t>1.168,61</w:t>
            </w:r>
          </w:p>
        </w:tc>
      </w:tr>
      <w:tr>
        <w:trPr>
          <w:trHeight w:val="505" w:hRule="atLeast"/>
        </w:trPr>
        <w:tc>
          <w:tcPr>
            <w:tcW w:w="2804" w:type="dxa"/>
            <w:tcBorders>
              <w:right w:val="nil"/>
            </w:tcBorders>
          </w:tcPr>
          <w:p>
            <w:pPr>
              <w:pStyle w:val="TableParagraph"/>
              <w:spacing w:line="248" w:lineRule="exact"/>
              <w:rPr>
                <w:b/>
                <w:sz w:val="22"/>
              </w:rPr>
            </w:pPr>
            <w:r>
              <w:rPr>
                <w:b/>
                <w:sz w:val="22"/>
              </w:rPr>
              <w:t>ST. JULIÀ DEL LLOR I</w:t>
            </w:r>
          </w:p>
          <w:p>
            <w:pPr>
              <w:pStyle w:val="TableParagraph"/>
              <w:spacing w:line="236" w:lineRule="exact" w:before="1"/>
              <w:rPr>
                <w:b/>
                <w:sz w:val="22"/>
              </w:rPr>
            </w:pPr>
            <w:r>
              <w:rPr>
                <w:b/>
                <w:sz w:val="22"/>
              </w:rPr>
              <w:t>BONMATÍ</w:t>
            </w:r>
          </w:p>
        </w:tc>
        <w:tc>
          <w:tcPr>
            <w:tcW w:w="777" w:type="dxa"/>
            <w:tcBorders>
              <w:left w:val="nil"/>
              <w:right w:val="nil"/>
            </w:tcBorders>
          </w:tcPr>
          <w:p>
            <w:pPr>
              <w:pStyle w:val="TableParagraph"/>
              <w:spacing w:line="250" w:lineRule="exact"/>
              <w:ind w:left="114"/>
              <w:rPr>
                <w:sz w:val="22"/>
              </w:rPr>
            </w:pPr>
            <w:r>
              <w:rPr>
                <w:w w:val="100"/>
                <w:sz w:val="22"/>
              </w:rPr>
              <w:t>2</w:t>
            </w:r>
          </w:p>
        </w:tc>
        <w:tc>
          <w:tcPr>
            <w:tcW w:w="1552" w:type="dxa"/>
            <w:tcBorders>
              <w:left w:val="nil"/>
            </w:tcBorders>
          </w:tcPr>
          <w:p>
            <w:pPr>
              <w:pStyle w:val="TableParagraph"/>
              <w:spacing w:line="250" w:lineRule="exact"/>
              <w:ind w:left="472"/>
              <w:rPr>
                <w:sz w:val="22"/>
              </w:rPr>
            </w:pPr>
            <w:r>
              <w:rPr>
                <w:sz w:val="22"/>
              </w:rPr>
              <w:t>1.168,61</w:t>
            </w:r>
          </w:p>
        </w:tc>
      </w:tr>
      <w:tr>
        <w:trPr>
          <w:trHeight w:val="253" w:hRule="atLeast"/>
        </w:trPr>
        <w:tc>
          <w:tcPr>
            <w:tcW w:w="2804" w:type="dxa"/>
            <w:tcBorders>
              <w:right w:val="nil"/>
            </w:tcBorders>
            <w:shd w:val="clear" w:color="auto" w:fill="E6EDD4"/>
          </w:tcPr>
          <w:p>
            <w:pPr>
              <w:pStyle w:val="TableParagraph"/>
              <w:rPr>
                <w:b/>
                <w:sz w:val="22"/>
              </w:rPr>
            </w:pPr>
            <w:r>
              <w:rPr>
                <w:b/>
                <w:sz w:val="22"/>
              </w:rPr>
              <w:t>VERGES</w:t>
            </w:r>
          </w:p>
        </w:tc>
        <w:tc>
          <w:tcPr>
            <w:tcW w:w="777" w:type="dxa"/>
            <w:tcBorders>
              <w:left w:val="nil"/>
              <w:right w:val="nil"/>
            </w:tcBorders>
            <w:shd w:val="clear" w:color="auto" w:fill="E6EDD4"/>
          </w:tcPr>
          <w:p>
            <w:pPr>
              <w:pStyle w:val="TableParagraph"/>
              <w:ind w:left="114"/>
              <w:rPr>
                <w:sz w:val="22"/>
              </w:rPr>
            </w:pPr>
            <w:r>
              <w:rPr>
                <w:w w:val="100"/>
                <w:sz w:val="22"/>
              </w:rPr>
              <w:t>2</w:t>
            </w:r>
          </w:p>
        </w:tc>
        <w:tc>
          <w:tcPr>
            <w:tcW w:w="1552" w:type="dxa"/>
            <w:tcBorders>
              <w:left w:val="nil"/>
            </w:tcBorders>
            <w:shd w:val="clear" w:color="auto" w:fill="E6EDD4"/>
          </w:tcPr>
          <w:p>
            <w:pPr>
              <w:pStyle w:val="TableParagraph"/>
              <w:ind w:left="472"/>
              <w:rPr>
                <w:sz w:val="22"/>
              </w:rPr>
            </w:pPr>
            <w:r>
              <w:rPr>
                <w:sz w:val="22"/>
              </w:rPr>
              <w:t>1.168,61</w:t>
            </w:r>
          </w:p>
        </w:tc>
      </w:tr>
      <w:tr>
        <w:trPr>
          <w:trHeight w:val="253" w:hRule="atLeast"/>
        </w:trPr>
        <w:tc>
          <w:tcPr>
            <w:tcW w:w="2804" w:type="dxa"/>
            <w:tcBorders>
              <w:right w:val="nil"/>
            </w:tcBorders>
          </w:tcPr>
          <w:p>
            <w:pPr>
              <w:pStyle w:val="TableParagraph"/>
              <w:rPr>
                <w:b/>
                <w:sz w:val="22"/>
              </w:rPr>
            </w:pPr>
            <w:r>
              <w:rPr>
                <w:b/>
                <w:sz w:val="22"/>
              </w:rPr>
              <w:t>BORDILS</w:t>
            </w:r>
          </w:p>
        </w:tc>
        <w:tc>
          <w:tcPr>
            <w:tcW w:w="777" w:type="dxa"/>
            <w:tcBorders>
              <w:left w:val="nil"/>
              <w:right w:val="nil"/>
            </w:tcBorders>
          </w:tcPr>
          <w:p>
            <w:pPr>
              <w:pStyle w:val="TableParagraph"/>
              <w:ind w:left="114"/>
              <w:rPr>
                <w:sz w:val="22"/>
              </w:rPr>
            </w:pPr>
            <w:r>
              <w:rPr>
                <w:w w:val="100"/>
                <w:sz w:val="22"/>
              </w:rPr>
              <w:t>2</w:t>
            </w:r>
          </w:p>
        </w:tc>
        <w:tc>
          <w:tcPr>
            <w:tcW w:w="1552" w:type="dxa"/>
            <w:tcBorders>
              <w:left w:val="nil"/>
            </w:tcBorders>
          </w:tcPr>
          <w:p>
            <w:pPr>
              <w:pStyle w:val="TableParagraph"/>
              <w:ind w:left="472"/>
              <w:rPr>
                <w:sz w:val="22"/>
              </w:rPr>
            </w:pPr>
            <w:r>
              <w:rPr>
                <w:sz w:val="22"/>
              </w:rPr>
              <w:t>1.168,61</w:t>
            </w:r>
          </w:p>
        </w:tc>
      </w:tr>
      <w:tr>
        <w:trPr>
          <w:trHeight w:val="505" w:hRule="atLeast"/>
        </w:trPr>
        <w:tc>
          <w:tcPr>
            <w:tcW w:w="2804" w:type="dxa"/>
            <w:tcBorders>
              <w:right w:val="nil"/>
            </w:tcBorders>
            <w:shd w:val="clear" w:color="auto" w:fill="E6EDD4"/>
          </w:tcPr>
          <w:p>
            <w:pPr>
              <w:pStyle w:val="TableParagraph"/>
              <w:tabs>
                <w:tab w:pos="1002" w:val="left" w:leader="none"/>
                <w:tab w:pos="2389" w:val="left" w:leader="none"/>
              </w:tabs>
              <w:spacing w:line="247" w:lineRule="exact"/>
              <w:rPr>
                <w:b/>
                <w:sz w:val="22"/>
              </w:rPr>
            </w:pPr>
            <w:r>
              <w:rPr>
                <w:b/>
                <w:sz w:val="22"/>
              </w:rPr>
              <w:t>ST.</w:t>
              <w:tab/>
              <w:t>QUIRZE</w:t>
              <w:tab/>
              <w:t>DE</w:t>
            </w:r>
          </w:p>
          <w:p>
            <w:pPr>
              <w:pStyle w:val="TableParagraph"/>
              <w:spacing w:line="238" w:lineRule="exact"/>
              <w:rPr>
                <w:b/>
                <w:sz w:val="22"/>
              </w:rPr>
            </w:pPr>
            <w:r>
              <w:rPr>
                <w:b/>
                <w:sz w:val="22"/>
              </w:rPr>
              <w:t>BESORA</w:t>
            </w:r>
          </w:p>
        </w:tc>
        <w:tc>
          <w:tcPr>
            <w:tcW w:w="777" w:type="dxa"/>
            <w:tcBorders>
              <w:left w:val="nil"/>
              <w:right w:val="nil"/>
            </w:tcBorders>
            <w:shd w:val="clear" w:color="auto" w:fill="E6EDD4"/>
          </w:tcPr>
          <w:p>
            <w:pPr>
              <w:pStyle w:val="TableParagraph"/>
              <w:spacing w:line="250" w:lineRule="exact"/>
              <w:ind w:left="114"/>
              <w:rPr>
                <w:sz w:val="22"/>
              </w:rPr>
            </w:pPr>
            <w:r>
              <w:rPr>
                <w:w w:val="100"/>
                <w:sz w:val="22"/>
              </w:rPr>
              <w:t>2</w:t>
            </w:r>
          </w:p>
        </w:tc>
        <w:tc>
          <w:tcPr>
            <w:tcW w:w="1552" w:type="dxa"/>
            <w:tcBorders>
              <w:left w:val="nil"/>
            </w:tcBorders>
            <w:shd w:val="clear" w:color="auto" w:fill="E6EDD4"/>
          </w:tcPr>
          <w:p>
            <w:pPr>
              <w:pStyle w:val="TableParagraph"/>
              <w:spacing w:line="250" w:lineRule="exact"/>
              <w:ind w:left="472"/>
              <w:rPr>
                <w:sz w:val="22"/>
              </w:rPr>
            </w:pPr>
            <w:r>
              <w:rPr>
                <w:sz w:val="22"/>
              </w:rPr>
              <w:t>1.168,61</w:t>
            </w:r>
          </w:p>
        </w:tc>
      </w:tr>
      <w:tr>
        <w:trPr>
          <w:trHeight w:val="254" w:hRule="atLeast"/>
        </w:trPr>
        <w:tc>
          <w:tcPr>
            <w:tcW w:w="2804" w:type="dxa"/>
            <w:tcBorders>
              <w:right w:val="nil"/>
            </w:tcBorders>
          </w:tcPr>
          <w:p>
            <w:pPr>
              <w:pStyle w:val="TableParagraph"/>
              <w:rPr>
                <w:b/>
                <w:sz w:val="22"/>
              </w:rPr>
            </w:pPr>
            <w:r>
              <w:rPr>
                <w:b/>
                <w:sz w:val="22"/>
              </w:rPr>
              <w:t>RIBES DE FRESER</w:t>
            </w:r>
          </w:p>
        </w:tc>
        <w:tc>
          <w:tcPr>
            <w:tcW w:w="777" w:type="dxa"/>
            <w:tcBorders>
              <w:left w:val="nil"/>
              <w:right w:val="nil"/>
            </w:tcBorders>
          </w:tcPr>
          <w:p>
            <w:pPr>
              <w:pStyle w:val="TableParagraph"/>
              <w:ind w:left="114"/>
              <w:rPr>
                <w:sz w:val="22"/>
              </w:rPr>
            </w:pPr>
            <w:r>
              <w:rPr>
                <w:w w:val="100"/>
                <w:sz w:val="22"/>
              </w:rPr>
              <w:t>2</w:t>
            </w:r>
          </w:p>
        </w:tc>
        <w:tc>
          <w:tcPr>
            <w:tcW w:w="1552" w:type="dxa"/>
            <w:tcBorders>
              <w:left w:val="nil"/>
            </w:tcBorders>
          </w:tcPr>
          <w:p>
            <w:pPr>
              <w:pStyle w:val="TableParagraph"/>
              <w:ind w:left="472"/>
              <w:rPr>
                <w:sz w:val="22"/>
              </w:rPr>
            </w:pPr>
            <w:r>
              <w:rPr>
                <w:sz w:val="22"/>
              </w:rPr>
              <w:t>1.168,61</w:t>
            </w:r>
          </w:p>
        </w:tc>
      </w:tr>
      <w:tr>
        <w:trPr>
          <w:trHeight w:val="251" w:hRule="atLeast"/>
        </w:trPr>
        <w:tc>
          <w:tcPr>
            <w:tcW w:w="2804" w:type="dxa"/>
            <w:tcBorders>
              <w:right w:val="nil"/>
            </w:tcBorders>
            <w:shd w:val="clear" w:color="auto" w:fill="E6EDD4"/>
          </w:tcPr>
          <w:p>
            <w:pPr>
              <w:pStyle w:val="TableParagraph"/>
              <w:spacing w:line="231" w:lineRule="exact"/>
              <w:rPr>
                <w:b/>
                <w:sz w:val="22"/>
              </w:rPr>
            </w:pPr>
            <w:r>
              <w:rPr>
                <w:b/>
                <w:sz w:val="22"/>
              </w:rPr>
              <w:t>STA. MARIA DE CORCÓ</w:t>
            </w:r>
          </w:p>
        </w:tc>
        <w:tc>
          <w:tcPr>
            <w:tcW w:w="777" w:type="dxa"/>
            <w:tcBorders>
              <w:left w:val="nil"/>
              <w:right w:val="nil"/>
            </w:tcBorders>
            <w:shd w:val="clear" w:color="auto" w:fill="E6EDD4"/>
          </w:tcPr>
          <w:p>
            <w:pPr>
              <w:pStyle w:val="TableParagraph"/>
              <w:spacing w:line="231" w:lineRule="exact"/>
              <w:ind w:left="114"/>
              <w:rPr>
                <w:sz w:val="22"/>
              </w:rPr>
            </w:pPr>
            <w:r>
              <w:rPr>
                <w:w w:val="100"/>
                <w:sz w:val="22"/>
              </w:rPr>
              <w:t>2</w:t>
            </w:r>
          </w:p>
        </w:tc>
        <w:tc>
          <w:tcPr>
            <w:tcW w:w="1552" w:type="dxa"/>
            <w:tcBorders>
              <w:left w:val="nil"/>
            </w:tcBorders>
            <w:shd w:val="clear" w:color="auto" w:fill="E6EDD4"/>
          </w:tcPr>
          <w:p>
            <w:pPr>
              <w:pStyle w:val="TableParagraph"/>
              <w:spacing w:line="231" w:lineRule="exact"/>
              <w:ind w:left="472"/>
              <w:rPr>
                <w:sz w:val="22"/>
              </w:rPr>
            </w:pPr>
            <w:r>
              <w:rPr>
                <w:sz w:val="22"/>
              </w:rPr>
              <w:t>1.168,61</w:t>
            </w:r>
          </w:p>
        </w:tc>
      </w:tr>
      <w:tr>
        <w:trPr>
          <w:trHeight w:val="253" w:hRule="atLeast"/>
        </w:trPr>
        <w:tc>
          <w:tcPr>
            <w:tcW w:w="2804" w:type="dxa"/>
            <w:tcBorders>
              <w:right w:val="nil"/>
            </w:tcBorders>
          </w:tcPr>
          <w:p>
            <w:pPr>
              <w:pStyle w:val="TableParagraph"/>
              <w:rPr>
                <w:b/>
                <w:sz w:val="22"/>
              </w:rPr>
            </w:pPr>
            <w:r>
              <w:rPr>
                <w:b/>
                <w:sz w:val="22"/>
              </w:rPr>
              <w:t>AMER</w:t>
            </w:r>
          </w:p>
        </w:tc>
        <w:tc>
          <w:tcPr>
            <w:tcW w:w="777" w:type="dxa"/>
            <w:tcBorders>
              <w:left w:val="nil"/>
              <w:right w:val="nil"/>
            </w:tcBorders>
          </w:tcPr>
          <w:p>
            <w:pPr>
              <w:pStyle w:val="TableParagraph"/>
              <w:ind w:left="114"/>
              <w:rPr>
                <w:sz w:val="22"/>
              </w:rPr>
            </w:pPr>
            <w:r>
              <w:rPr>
                <w:w w:val="100"/>
                <w:sz w:val="22"/>
              </w:rPr>
              <w:t>2</w:t>
            </w:r>
          </w:p>
        </w:tc>
        <w:tc>
          <w:tcPr>
            <w:tcW w:w="1552" w:type="dxa"/>
            <w:tcBorders>
              <w:left w:val="nil"/>
            </w:tcBorders>
          </w:tcPr>
          <w:p>
            <w:pPr>
              <w:pStyle w:val="TableParagraph"/>
              <w:ind w:left="472"/>
              <w:rPr>
                <w:sz w:val="22"/>
              </w:rPr>
            </w:pPr>
            <w:r>
              <w:rPr>
                <w:sz w:val="22"/>
              </w:rPr>
              <w:t>1.168,61</w:t>
            </w:r>
          </w:p>
        </w:tc>
      </w:tr>
      <w:tr>
        <w:trPr>
          <w:trHeight w:val="253" w:hRule="atLeast"/>
        </w:trPr>
        <w:tc>
          <w:tcPr>
            <w:tcW w:w="2804" w:type="dxa"/>
            <w:tcBorders>
              <w:right w:val="nil"/>
            </w:tcBorders>
            <w:shd w:val="clear" w:color="auto" w:fill="E6EDD4"/>
          </w:tcPr>
          <w:p>
            <w:pPr>
              <w:pStyle w:val="TableParagraph"/>
              <w:rPr>
                <w:b/>
                <w:sz w:val="22"/>
              </w:rPr>
            </w:pPr>
            <w:r>
              <w:rPr>
                <w:b/>
                <w:sz w:val="22"/>
              </w:rPr>
              <w:t>CAMPRODON</w:t>
            </w:r>
          </w:p>
        </w:tc>
        <w:tc>
          <w:tcPr>
            <w:tcW w:w="777" w:type="dxa"/>
            <w:tcBorders>
              <w:left w:val="nil"/>
              <w:right w:val="nil"/>
            </w:tcBorders>
            <w:shd w:val="clear" w:color="auto" w:fill="E6EDD4"/>
          </w:tcPr>
          <w:p>
            <w:pPr>
              <w:pStyle w:val="TableParagraph"/>
              <w:ind w:left="114"/>
              <w:rPr>
                <w:sz w:val="22"/>
              </w:rPr>
            </w:pPr>
            <w:r>
              <w:rPr>
                <w:w w:val="100"/>
                <w:sz w:val="22"/>
              </w:rPr>
              <w:t>2</w:t>
            </w:r>
          </w:p>
        </w:tc>
        <w:tc>
          <w:tcPr>
            <w:tcW w:w="1552" w:type="dxa"/>
            <w:tcBorders>
              <w:left w:val="nil"/>
            </w:tcBorders>
            <w:shd w:val="clear" w:color="auto" w:fill="E6EDD4"/>
          </w:tcPr>
          <w:p>
            <w:pPr>
              <w:pStyle w:val="TableParagraph"/>
              <w:ind w:left="472"/>
              <w:rPr>
                <w:sz w:val="22"/>
              </w:rPr>
            </w:pPr>
            <w:r>
              <w:rPr>
                <w:sz w:val="22"/>
              </w:rPr>
              <w:t>1.168,61</w:t>
            </w:r>
          </w:p>
        </w:tc>
      </w:tr>
      <w:tr>
        <w:trPr>
          <w:trHeight w:val="253" w:hRule="atLeast"/>
        </w:trPr>
        <w:tc>
          <w:tcPr>
            <w:tcW w:w="2804" w:type="dxa"/>
            <w:tcBorders>
              <w:right w:val="nil"/>
            </w:tcBorders>
          </w:tcPr>
          <w:p>
            <w:pPr>
              <w:pStyle w:val="TableParagraph"/>
              <w:rPr>
                <w:b/>
                <w:sz w:val="22"/>
              </w:rPr>
            </w:pPr>
            <w:r>
              <w:rPr>
                <w:b/>
                <w:sz w:val="22"/>
              </w:rPr>
              <w:t>LA CELLERA DE TER</w:t>
            </w:r>
          </w:p>
        </w:tc>
        <w:tc>
          <w:tcPr>
            <w:tcW w:w="777" w:type="dxa"/>
            <w:tcBorders>
              <w:left w:val="nil"/>
              <w:right w:val="nil"/>
            </w:tcBorders>
          </w:tcPr>
          <w:p>
            <w:pPr>
              <w:pStyle w:val="TableParagraph"/>
              <w:ind w:left="114"/>
              <w:rPr>
                <w:sz w:val="22"/>
              </w:rPr>
            </w:pPr>
            <w:r>
              <w:rPr>
                <w:w w:val="100"/>
                <w:sz w:val="22"/>
              </w:rPr>
              <w:t>2</w:t>
            </w:r>
          </w:p>
        </w:tc>
        <w:tc>
          <w:tcPr>
            <w:tcW w:w="1552" w:type="dxa"/>
            <w:tcBorders>
              <w:left w:val="nil"/>
            </w:tcBorders>
          </w:tcPr>
          <w:p>
            <w:pPr>
              <w:pStyle w:val="TableParagraph"/>
              <w:ind w:left="472"/>
              <w:rPr>
                <w:sz w:val="22"/>
              </w:rPr>
            </w:pPr>
            <w:r>
              <w:rPr>
                <w:sz w:val="22"/>
              </w:rPr>
              <w:t>1.168,61</w:t>
            </w:r>
          </w:p>
        </w:tc>
      </w:tr>
      <w:tr>
        <w:trPr>
          <w:trHeight w:val="505" w:hRule="atLeast"/>
        </w:trPr>
        <w:tc>
          <w:tcPr>
            <w:tcW w:w="2804" w:type="dxa"/>
            <w:tcBorders>
              <w:right w:val="nil"/>
            </w:tcBorders>
            <w:shd w:val="clear" w:color="auto" w:fill="E6EDD4"/>
          </w:tcPr>
          <w:p>
            <w:pPr>
              <w:pStyle w:val="TableParagraph"/>
              <w:tabs>
                <w:tab w:pos="973" w:val="left" w:leader="none"/>
                <w:tab w:pos="2386" w:val="left" w:leader="none"/>
              </w:tabs>
              <w:spacing w:line="247" w:lineRule="exact"/>
              <w:rPr>
                <w:b/>
                <w:sz w:val="22"/>
              </w:rPr>
            </w:pPr>
            <w:r>
              <w:rPr>
                <w:b/>
                <w:sz w:val="22"/>
              </w:rPr>
              <w:t>St.</w:t>
              <w:tab/>
              <w:t>VICENÇ</w:t>
              <w:tab/>
              <w:t>DE</w:t>
            </w:r>
          </w:p>
          <w:p>
            <w:pPr>
              <w:pStyle w:val="TableParagraph"/>
              <w:spacing w:line="238" w:lineRule="exact"/>
              <w:rPr>
                <w:b/>
                <w:sz w:val="22"/>
              </w:rPr>
            </w:pPr>
            <w:r>
              <w:rPr>
                <w:b/>
                <w:sz w:val="22"/>
              </w:rPr>
              <w:t>TORELLO</w:t>
            </w:r>
          </w:p>
        </w:tc>
        <w:tc>
          <w:tcPr>
            <w:tcW w:w="777" w:type="dxa"/>
            <w:tcBorders>
              <w:left w:val="nil"/>
              <w:right w:val="nil"/>
            </w:tcBorders>
            <w:shd w:val="clear" w:color="auto" w:fill="E6EDD4"/>
          </w:tcPr>
          <w:p>
            <w:pPr>
              <w:pStyle w:val="TableParagraph"/>
              <w:spacing w:line="250" w:lineRule="exact"/>
              <w:ind w:left="114"/>
              <w:rPr>
                <w:sz w:val="22"/>
              </w:rPr>
            </w:pPr>
            <w:r>
              <w:rPr>
                <w:w w:val="100"/>
                <w:sz w:val="22"/>
              </w:rPr>
              <w:t>2</w:t>
            </w:r>
          </w:p>
        </w:tc>
        <w:tc>
          <w:tcPr>
            <w:tcW w:w="1552" w:type="dxa"/>
            <w:tcBorders>
              <w:left w:val="nil"/>
            </w:tcBorders>
            <w:shd w:val="clear" w:color="auto" w:fill="E6EDD4"/>
          </w:tcPr>
          <w:p>
            <w:pPr>
              <w:pStyle w:val="TableParagraph"/>
              <w:spacing w:line="250" w:lineRule="exact"/>
              <w:ind w:left="472"/>
              <w:rPr>
                <w:sz w:val="22"/>
              </w:rPr>
            </w:pPr>
            <w:r>
              <w:rPr>
                <w:sz w:val="22"/>
              </w:rPr>
              <w:t>1.168,61</w:t>
            </w:r>
          </w:p>
        </w:tc>
      </w:tr>
      <w:tr>
        <w:trPr>
          <w:trHeight w:val="253" w:hRule="atLeast"/>
        </w:trPr>
        <w:tc>
          <w:tcPr>
            <w:tcW w:w="2804" w:type="dxa"/>
            <w:tcBorders>
              <w:right w:val="nil"/>
            </w:tcBorders>
          </w:tcPr>
          <w:p>
            <w:pPr>
              <w:pStyle w:val="TableParagraph"/>
              <w:rPr>
                <w:b/>
                <w:sz w:val="22"/>
              </w:rPr>
            </w:pPr>
            <w:r>
              <w:rPr>
                <w:b/>
                <w:sz w:val="22"/>
              </w:rPr>
              <w:t>GURB</w:t>
            </w:r>
          </w:p>
        </w:tc>
        <w:tc>
          <w:tcPr>
            <w:tcW w:w="777" w:type="dxa"/>
            <w:tcBorders>
              <w:left w:val="nil"/>
              <w:right w:val="nil"/>
            </w:tcBorders>
          </w:tcPr>
          <w:p>
            <w:pPr>
              <w:pStyle w:val="TableParagraph"/>
              <w:ind w:left="114"/>
              <w:rPr>
                <w:sz w:val="22"/>
              </w:rPr>
            </w:pPr>
            <w:r>
              <w:rPr>
                <w:w w:val="100"/>
                <w:sz w:val="22"/>
              </w:rPr>
              <w:t>3</w:t>
            </w:r>
          </w:p>
        </w:tc>
        <w:tc>
          <w:tcPr>
            <w:tcW w:w="1552" w:type="dxa"/>
            <w:tcBorders>
              <w:left w:val="nil"/>
            </w:tcBorders>
          </w:tcPr>
          <w:p>
            <w:pPr>
              <w:pStyle w:val="TableParagraph"/>
              <w:ind w:left="472"/>
              <w:rPr>
                <w:sz w:val="22"/>
              </w:rPr>
            </w:pPr>
            <w:r>
              <w:rPr>
                <w:sz w:val="22"/>
              </w:rPr>
              <w:t>1.572,04</w:t>
            </w:r>
          </w:p>
        </w:tc>
      </w:tr>
      <w:tr>
        <w:trPr>
          <w:trHeight w:val="251" w:hRule="atLeast"/>
        </w:trPr>
        <w:tc>
          <w:tcPr>
            <w:tcW w:w="2804" w:type="dxa"/>
            <w:tcBorders>
              <w:right w:val="nil"/>
            </w:tcBorders>
            <w:shd w:val="clear" w:color="auto" w:fill="E6EDD4"/>
          </w:tcPr>
          <w:p>
            <w:pPr>
              <w:pStyle w:val="TableParagraph"/>
              <w:spacing w:line="231" w:lineRule="exact"/>
              <w:rPr>
                <w:b/>
                <w:sz w:val="22"/>
              </w:rPr>
            </w:pPr>
            <w:r>
              <w:rPr>
                <w:b/>
                <w:sz w:val="22"/>
              </w:rPr>
              <w:t>ST. JULIÀ DE RAMIS</w:t>
            </w:r>
          </w:p>
        </w:tc>
        <w:tc>
          <w:tcPr>
            <w:tcW w:w="777" w:type="dxa"/>
            <w:tcBorders>
              <w:left w:val="nil"/>
              <w:right w:val="nil"/>
            </w:tcBorders>
            <w:shd w:val="clear" w:color="auto" w:fill="E6EDD4"/>
          </w:tcPr>
          <w:p>
            <w:pPr>
              <w:pStyle w:val="TableParagraph"/>
              <w:spacing w:line="231" w:lineRule="exact"/>
              <w:ind w:left="114"/>
              <w:rPr>
                <w:sz w:val="22"/>
              </w:rPr>
            </w:pPr>
            <w:r>
              <w:rPr>
                <w:w w:val="100"/>
                <w:sz w:val="22"/>
              </w:rPr>
              <w:t>3</w:t>
            </w:r>
          </w:p>
        </w:tc>
        <w:tc>
          <w:tcPr>
            <w:tcW w:w="1552" w:type="dxa"/>
            <w:tcBorders>
              <w:left w:val="nil"/>
            </w:tcBorders>
            <w:shd w:val="clear" w:color="auto" w:fill="E6EDD4"/>
          </w:tcPr>
          <w:p>
            <w:pPr>
              <w:pStyle w:val="TableParagraph"/>
              <w:spacing w:line="231" w:lineRule="exact"/>
              <w:ind w:left="472"/>
              <w:rPr>
                <w:sz w:val="22"/>
              </w:rPr>
            </w:pPr>
            <w:r>
              <w:rPr>
                <w:sz w:val="22"/>
              </w:rPr>
              <w:t>1.572,04</w:t>
            </w:r>
          </w:p>
        </w:tc>
      </w:tr>
      <w:tr>
        <w:trPr>
          <w:trHeight w:val="253" w:hRule="atLeast"/>
        </w:trPr>
        <w:tc>
          <w:tcPr>
            <w:tcW w:w="2804" w:type="dxa"/>
            <w:tcBorders>
              <w:right w:val="nil"/>
            </w:tcBorders>
          </w:tcPr>
          <w:p>
            <w:pPr>
              <w:pStyle w:val="TableParagraph"/>
              <w:rPr>
                <w:b/>
                <w:sz w:val="22"/>
              </w:rPr>
            </w:pPr>
            <w:r>
              <w:rPr>
                <w:b/>
                <w:sz w:val="22"/>
              </w:rPr>
              <w:t>ST. GREGORI</w:t>
            </w:r>
          </w:p>
        </w:tc>
        <w:tc>
          <w:tcPr>
            <w:tcW w:w="777" w:type="dxa"/>
            <w:tcBorders>
              <w:left w:val="nil"/>
              <w:right w:val="nil"/>
            </w:tcBorders>
          </w:tcPr>
          <w:p>
            <w:pPr>
              <w:pStyle w:val="TableParagraph"/>
              <w:ind w:left="114"/>
              <w:rPr>
                <w:sz w:val="22"/>
              </w:rPr>
            </w:pPr>
            <w:r>
              <w:rPr>
                <w:w w:val="100"/>
                <w:sz w:val="22"/>
              </w:rPr>
              <w:t>3</w:t>
            </w:r>
          </w:p>
        </w:tc>
        <w:tc>
          <w:tcPr>
            <w:tcW w:w="1552" w:type="dxa"/>
            <w:tcBorders>
              <w:left w:val="nil"/>
            </w:tcBorders>
          </w:tcPr>
          <w:p>
            <w:pPr>
              <w:pStyle w:val="TableParagraph"/>
              <w:ind w:left="472"/>
              <w:rPr>
                <w:sz w:val="22"/>
              </w:rPr>
            </w:pPr>
            <w:r>
              <w:rPr>
                <w:sz w:val="22"/>
              </w:rPr>
              <w:t>1.572,04</w:t>
            </w:r>
          </w:p>
        </w:tc>
      </w:tr>
      <w:tr>
        <w:trPr>
          <w:trHeight w:val="505" w:hRule="atLeast"/>
        </w:trPr>
        <w:tc>
          <w:tcPr>
            <w:tcW w:w="2804" w:type="dxa"/>
            <w:tcBorders>
              <w:right w:val="nil"/>
            </w:tcBorders>
            <w:shd w:val="clear" w:color="auto" w:fill="E6EDD4"/>
          </w:tcPr>
          <w:p>
            <w:pPr>
              <w:pStyle w:val="TableParagraph"/>
              <w:tabs>
                <w:tab w:pos="1038" w:val="left" w:leader="none"/>
                <w:tab w:pos="2384" w:val="left" w:leader="none"/>
              </w:tabs>
              <w:spacing w:line="248" w:lineRule="exact"/>
              <w:rPr>
                <w:b/>
                <w:sz w:val="22"/>
              </w:rPr>
            </w:pPr>
            <w:r>
              <w:rPr>
                <w:b/>
                <w:sz w:val="22"/>
              </w:rPr>
              <w:t>LES</w:t>
              <w:tab/>
              <w:t>MASIES</w:t>
              <w:tab/>
              <w:t>DE</w:t>
            </w:r>
          </w:p>
          <w:p>
            <w:pPr>
              <w:pStyle w:val="TableParagraph"/>
              <w:spacing w:line="236" w:lineRule="exact" w:before="1"/>
              <w:rPr>
                <w:b/>
                <w:sz w:val="22"/>
              </w:rPr>
            </w:pPr>
            <w:r>
              <w:rPr>
                <w:b/>
                <w:sz w:val="22"/>
              </w:rPr>
              <w:t>VOLTREGA</w:t>
            </w:r>
          </w:p>
        </w:tc>
        <w:tc>
          <w:tcPr>
            <w:tcW w:w="777" w:type="dxa"/>
            <w:tcBorders>
              <w:left w:val="nil"/>
              <w:right w:val="nil"/>
            </w:tcBorders>
            <w:shd w:val="clear" w:color="auto" w:fill="E6EDD4"/>
          </w:tcPr>
          <w:p>
            <w:pPr>
              <w:pStyle w:val="TableParagraph"/>
              <w:spacing w:line="250" w:lineRule="exact"/>
              <w:ind w:left="114"/>
              <w:rPr>
                <w:sz w:val="22"/>
              </w:rPr>
            </w:pPr>
            <w:r>
              <w:rPr>
                <w:w w:val="100"/>
                <w:sz w:val="22"/>
              </w:rPr>
              <w:t>3</w:t>
            </w:r>
          </w:p>
        </w:tc>
        <w:tc>
          <w:tcPr>
            <w:tcW w:w="1552" w:type="dxa"/>
            <w:tcBorders>
              <w:left w:val="nil"/>
            </w:tcBorders>
            <w:shd w:val="clear" w:color="auto" w:fill="E6EDD4"/>
          </w:tcPr>
          <w:p>
            <w:pPr>
              <w:pStyle w:val="TableParagraph"/>
              <w:spacing w:line="250" w:lineRule="exact"/>
              <w:ind w:left="472"/>
              <w:rPr>
                <w:sz w:val="22"/>
              </w:rPr>
            </w:pPr>
            <w:r>
              <w:rPr>
                <w:sz w:val="22"/>
              </w:rPr>
              <w:t>1.572,04</w:t>
            </w:r>
          </w:p>
        </w:tc>
      </w:tr>
      <w:tr>
        <w:trPr>
          <w:trHeight w:val="253" w:hRule="atLeast"/>
        </w:trPr>
        <w:tc>
          <w:tcPr>
            <w:tcW w:w="2804" w:type="dxa"/>
            <w:tcBorders>
              <w:right w:val="nil"/>
            </w:tcBorders>
          </w:tcPr>
          <w:p>
            <w:pPr>
              <w:pStyle w:val="TableParagraph"/>
              <w:rPr>
                <w:b/>
                <w:sz w:val="22"/>
              </w:rPr>
            </w:pPr>
            <w:r>
              <w:rPr>
                <w:b/>
                <w:sz w:val="22"/>
              </w:rPr>
              <w:t>BESCANÓ</w:t>
            </w:r>
          </w:p>
        </w:tc>
        <w:tc>
          <w:tcPr>
            <w:tcW w:w="777" w:type="dxa"/>
            <w:tcBorders>
              <w:left w:val="nil"/>
              <w:right w:val="nil"/>
            </w:tcBorders>
          </w:tcPr>
          <w:p>
            <w:pPr>
              <w:pStyle w:val="TableParagraph"/>
              <w:ind w:left="114"/>
              <w:rPr>
                <w:sz w:val="22"/>
              </w:rPr>
            </w:pPr>
            <w:r>
              <w:rPr>
                <w:w w:val="100"/>
                <w:sz w:val="22"/>
              </w:rPr>
              <w:t>3</w:t>
            </w:r>
          </w:p>
        </w:tc>
        <w:tc>
          <w:tcPr>
            <w:tcW w:w="1552" w:type="dxa"/>
            <w:tcBorders>
              <w:left w:val="nil"/>
            </w:tcBorders>
          </w:tcPr>
          <w:p>
            <w:pPr>
              <w:pStyle w:val="TableParagraph"/>
              <w:ind w:left="472"/>
              <w:rPr>
                <w:sz w:val="22"/>
              </w:rPr>
            </w:pPr>
            <w:r>
              <w:rPr>
                <w:sz w:val="22"/>
              </w:rPr>
              <w:t>1.572,04</w:t>
            </w:r>
          </w:p>
        </w:tc>
      </w:tr>
      <w:tr>
        <w:trPr>
          <w:trHeight w:val="253" w:hRule="atLeast"/>
        </w:trPr>
        <w:tc>
          <w:tcPr>
            <w:tcW w:w="2804" w:type="dxa"/>
            <w:tcBorders>
              <w:right w:val="nil"/>
            </w:tcBorders>
            <w:shd w:val="clear" w:color="auto" w:fill="E6EDD4"/>
          </w:tcPr>
          <w:p>
            <w:pPr>
              <w:pStyle w:val="TableParagraph"/>
              <w:rPr>
                <w:b/>
                <w:sz w:val="22"/>
              </w:rPr>
            </w:pPr>
            <w:r>
              <w:rPr>
                <w:b/>
                <w:sz w:val="22"/>
              </w:rPr>
              <w:t>CAMPDEVÀNOL</w:t>
            </w:r>
          </w:p>
        </w:tc>
        <w:tc>
          <w:tcPr>
            <w:tcW w:w="777" w:type="dxa"/>
            <w:tcBorders>
              <w:left w:val="nil"/>
              <w:right w:val="nil"/>
            </w:tcBorders>
            <w:shd w:val="clear" w:color="auto" w:fill="E6EDD4"/>
          </w:tcPr>
          <w:p>
            <w:pPr>
              <w:pStyle w:val="TableParagraph"/>
              <w:ind w:left="114"/>
              <w:rPr>
                <w:sz w:val="22"/>
              </w:rPr>
            </w:pPr>
            <w:r>
              <w:rPr>
                <w:w w:val="100"/>
                <w:sz w:val="22"/>
              </w:rPr>
              <w:t>3</w:t>
            </w:r>
          </w:p>
        </w:tc>
        <w:tc>
          <w:tcPr>
            <w:tcW w:w="1552" w:type="dxa"/>
            <w:tcBorders>
              <w:left w:val="nil"/>
            </w:tcBorders>
            <w:shd w:val="clear" w:color="auto" w:fill="E6EDD4"/>
          </w:tcPr>
          <w:p>
            <w:pPr>
              <w:pStyle w:val="TableParagraph"/>
              <w:ind w:left="472"/>
              <w:rPr>
                <w:sz w:val="22"/>
              </w:rPr>
            </w:pPr>
            <w:r>
              <w:rPr>
                <w:sz w:val="22"/>
              </w:rPr>
              <w:t>1.572,04</w:t>
            </w:r>
          </w:p>
        </w:tc>
      </w:tr>
      <w:tr>
        <w:trPr>
          <w:trHeight w:val="505" w:hRule="atLeast"/>
        </w:trPr>
        <w:tc>
          <w:tcPr>
            <w:tcW w:w="2804" w:type="dxa"/>
            <w:tcBorders>
              <w:right w:val="nil"/>
            </w:tcBorders>
          </w:tcPr>
          <w:p>
            <w:pPr>
              <w:pStyle w:val="TableParagraph"/>
              <w:tabs>
                <w:tab w:pos="748" w:val="left" w:leader="none"/>
                <w:tab w:pos="1657" w:val="left" w:leader="none"/>
                <w:tab w:pos="2261" w:val="left" w:leader="none"/>
              </w:tabs>
              <w:spacing w:line="247" w:lineRule="exact"/>
              <w:rPr>
                <w:b/>
                <w:sz w:val="22"/>
              </w:rPr>
            </w:pPr>
            <w:r>
              <w:rPr>
                <w:b/>
                <w:sz w:val="22"/>
              </w:rPr>
              <w:t>ST.</w:t>
              <w:tab/>
              <w:t>JOAN</w:t>
              <w:tab/>
              <w:t>DE</w:t>
              <w:tab/>
              <w:t>LES</w:t>
            </w:r>
          </w:p>
          <w:p>
            <w:pPr>
              <w:pStyle w:val="TableParagraph"/>
              <w:spacing w:line="238" w:lineRule="exact"/>
              <w:rPr>
                <w:b/>
                <w:sz w:val="22"/>
              </w:rPr>
            </w:pPr>
            <w:r>
              <w:rPr>
                <w:b/>
                <w:sz w:val="22"/>
              </w:rPr>
              <w:t>ABADESSES</w:t>
            </w:r>
          </w:p>
        </w:tc>
        <w:tc>
          <w:tcPr>
            <w:tcW w:w="777" w:type="dxa"/>
            <w:tcBorders>
              <w:left w:val="nil"/>
              <w:right w:val="nil"/>
            </w:tcBorders>
          </w:tcPr>
          <w:p>
            <w:pPr>
              <w:pStyle w:val="TableParagraph"/>
              <w:spacing w:line="250" w:lineRule="exact"/>
              <w:ind w:left="114"/>
              <w:rPr>
                <w:sz w:val="22"/>
              </w:rPr>
            </w:pPr>
            <w:r>
              <w:rPr>
                <w:w w:val="100"/>
                <w:sz w:val="22"/>
              </w:rPr>
              <w:t>3</w:t>
            </w:r>
          </w:p>
        </w:tc>
        <w:tc>
          <w:tcPr>
            <w:tcW w:w="1552" w:type="dxa"/>
            <w:tcBorders>
              <w:left w:val="nil"/>
            </w:tcBorders>
          </w:tcPr>
          <w:p>
            <w:pPr>
              <w:pStyle w:val="TableParagraph"/>
              <w:spacing w:line="250" w:lineRule="exact"/>
              <w:ind w:left="472"/>
              <w:rPr>
                <w:sz w:val="22"/>
              </w:rPr>
            </w:pPr>
            <w:r>
              <w:rPr>
                <w:sz w:val="22"/>
              </w:rPr>
              <w:t>1.572,04</w:t>
            </w:r>
          </w:p>
        </w:tc>
      </w:tr>
      <w:tr>
        <w:trPr>
          <w:trHeight w:val="505" w:hRule="atLeast"/>
        </w:trPr>
        <w:tc>
          <w:tcPr>
            <w:tcW w:w="2804" w:type="dxa"/>
            <w:tcBorders>
              <w:right w:val="nil"/>
            </w:tcBorders>
            <w:shd w:val="clear" w:color="auto" w:fill="E6EDD4"/>
          </w:tcPr>
          <w:p>
            <w:pPr>
              <w:pStyle w:val="TableParagraph"/>
              <w:tabs>
                <w:tab w:pos="1693" w:val="left" w:leader="none"/>
                <w:tab w:pos="2401" w:val="left" w:leader="none"/>
              </w:tabs>
              <w:spacing w:line="248" w:lineRule="exact"/>
              <w:rPr>
                <w:b/>
                <w:sz w:val="22"/>
              </w:rPr>
            </w:pPr>
            <w:r>
              <w:rPr>
                <w:b/>
                <w:sz w:val="22"/>
              </w:rPr>
              <w:t>FORNELLS</w:t>
              <w:tab/>
              <w:t>DE</w:t>
              <w:tab/>
              <w:t>LA</w:t>
            </w:r>
          </w:p>
          <w:p>
            <w:pPr>
              <w:pStyle w:val="TableParagraph"/>
              <w:spacing w:line="236" w:lineRule="exact" w:before="1"/>
              <w:rPr>
                <w:b/>
                <w:sz w:val="22"/>
              </w:rPr>
            </w:pPr>
            <w:r>
              <w:rPr>
                <w:b/>
                <w:sz w:val="22"/>
              </w:rPr>
              <w:t>SELVA</w:t>
            </w:r>
          </w:p>
        </w:tc>
        <w:tc>
          <w:tcPr>
            <w:tcW w:w="777" w:type="dxa"/>
            <w:tcBorders>
              <w:left w:val="nil"/>
              <w:right w:val="nil"/>
            </w:tcBorders>
            <w:shd w:val="clear" w:color="auto" w:fill="E6EDD4"/>
          </w:tcPr>
          <w:p>
            <w:pPr>
              <w:pStyle w:val="TableParagraph"/>
              <w:spacing w:line="250" w:lineRule="exact"/>
              <w:ind w:left="114"/>
              <w:rPr>
                <w:sz w:val="22"/>
              </w:rPr>
            </w:pPr>
            <w:r>
              <w:rPr>
                <w:sz w:val="22"/>
              </w:rPr>
              <w:t>3*</w:t>
            </w:r>
          </w:p>
        </w:tc>
        <w:tc>
          <w:tcPr>
            <w:tcW w:w="1552" w:type="dxa"/>
            <w:tcBorders>
              <w:left w:val="nil"/>
            </w:tcBorders>
            <w:shd w:val="clear" w:color="auto" w:fill="E6EDD4"/>
          </w:tcPr>
          <w:p>
            <w:pPr>
              <w:pStyle w:val="TableParagraph"/>
              <w:spacing w:line="250" w:lineRule="exact"/>
              <w:ind w:left="472"/>
              <w:rPr>
                <w:sz w:val="22"/>
              </w:rPr>
            </w:pPr>
            <w:r>
              <w:rPr>
                <w:sz w:val="22"/>
              </w:rPr>
              <w:t>786,03</w:t>
            </w:r>
          </w:p>
        </w:tc>
      </w:tr>
      <w:tr>
        <w:trPr>
          <w:trHeight w:val="253" w:hRule="atLeast"/>
        </w:trPr>
        <w:tc>
          <w:tcPr>
            <w:tcW w:w="2804" w:type="dxa"/>
            <w:tcBorders>
              <w:right w:val="nil"/>
            </w:tcBorders>
          </w:tcPr>
          <w:p>
            <w:pPr>
              <w:pStyle w:val="TableParagraph"/>
              <w:rPr>
                <w:b/>
                <w:sz w:val="22"/>
              </w:rPr>
            </w:pPr>
            <w:r>
              <w:rPr>
                <w:b/>
                <w:sz w:val="22"/>
              </w:rPr>
              <w:t>VILOBÍ D’ONYAR</w:t>
            </w:r>
          </w:p>
        </w:tc>
        <w:tc>
          <w:tcPr>
            <w:tcW w:w="777" w:type="dxa"/>
            <w:tcBorders>
              <w:left w:val="nil"/>
              <w:right w:val="nil"/>
            </w:tcBorders>
          </w:tcPr>
          <w:p>
            <w:pPr>
              <w:pStyle w:val="TableParagraph"/>
              <w:ind w:left="114"/>
              <w:rPr>
                <w:sz w:val="22"/>
              </w:rPr>
            </w:pPr>
            <w:r>
              <w:rPr>
                <w:sz w:val="22"/>
              </w:rPr>
              <w:t>3*</w:t>
            </w:r>
          </w:p>
        </w:tc>
        <w:tc>
          <w:tcPr>
            <w:tcW w:w="1552" w:type="dxa"/>
            <w:tcBorders>
              <w:left w:val="nil"/>
            </w:tcBorders>
          </w:tcPr>
          <w:p>
            <w:pPr>
              <w:pStyle w:val="TableParagraph"/>
              <w:ind w:left="472"/>
              <w:rPr>
                <w:sz w:val="22"/>
              </w:rPr>
            </w:pPr>
            <w:r>
              <w:rPr>
                <w:sz w:val="22"/>
              </w:rPr>
              <w:t>786,03</w:t>
            </w:r>
          </w:p>
        </w:tc>
      </w:tr>
    </w:tbl>
    <w:p>
      <w:pPr>
        <w:spacing w:after="0"/>
        <w:rPr>
          <w:sz w:val="22"/>
        </w:rPr>
        <w:sectPr>
          <w:headerReference w:type="default" r:id="rId37"/>
          <w:footerReference w:type="default" r:id="rId38"/>
          <w:pgSz w:w="11910" w:h="16840"/>
          <w:pgMar w:header="766" w:footer="0" w:top="1920" w:bottom="280" w:left="1680" w:right="860"/>
        </w:sectPr>
      </w:pPr>
    </w:p>
    <w:p>
      <w:pPr>
        <w:pStyle w:val="BodyText"/>
        <w:rPr>
          <w:rFonts w:ascii="Times New Roman"/>
          <w:sz w:val="20"/>
        </w:rPr>
      </w:pPr>
      <w:r>
        <w:rPr/>
        <w:pict>
          <v:shape style="position:absolute;margin-left:46.0816pt;margin-top:295.227448pt;width:11pt;height:413.3pt;mso-position-horizontal-relative:page;mso-position-vertical-relative:page;z-index:2008"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rPr>
          <w:rFonts w:ascii="Times New Roman"/>
          <w:sz w:val="28"/>
        </w:rPr>
      </w:pPr>
    </w:p>
    <w:tbl>
      <w:tblPr>
        <w:tblW w:w="0" w:type="auto"/>
        <w:jc w:val="left"/>
        <w:tblInd w:w="2135"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ayout w:type="fixed"/>
        <w:tblCellMar>
          <w:top w:w="0" w:type="dxa"/>
          <w:left w:w="0" w:type="dxa"/>
          <w:bottom w:w="0" w:type="dxa"/>
          <w:right w:w="0" w:type="dxa"/>
        </w:tblCellMar>
        <w:tblLook w:val="01E0"/>
      </w:tblPr>
      <w:tblGrid>
        <w:gridCol w:w="2801"/>
        <w:gridCol w:w="823"/>
        <w:gridCol w:w="1508"/>
      </w:tblGrid>
      <w:tr>
        <w:trPr>
          <w:trHeight w:val="253" w:hRule="atLeast"/>
        </w:trPr>
        <w:tc>
          <w:tcPr>
            <w:tcW w:w="2801" w:type="dxa"/>
            <w:tcBorders>
              <w:right w:val="nil"/>
            </w:tcBorders>
            <w:shd w:val="clear" w:color="auto" w:fill="E6EDD4"/>
          </w:tcPr>
          <w:p>
            <w:pPr>
              <w:pStyle w:val="TableParagraph"/>
              <w:rPr>
                <w:b/>
                <w:sz w:val="22"/>
              </w:rPr>
            </w:pPr>
            <w:r>
              <w:rPr>
                <w:b/>
                <w:sz w:val="22"/>
              </w:rPr>
              <w:t>SARRIÀ DE TER</w:t>
            </w:r>
          </w:p>
        </w:tc>
        <w:tc>
          <w:tcPr>
            <w:tcW w:w="823" w:type="dxa"/>
            <w:tcBorders>
              <w:left w:val="nil"/>
              <w:right w:val="nil"/>
            </w:tcBorders>
            <w:shd w:val="clear" w:color="auto" w:fill="E6EDD4"/>
          </w:tcPr>
          <w:p>
            <w:pPr>
              <w:pStyle w:val="TableParagraph"/>
              <w:ind w:left="117"/>
              <w:rPr>
                <w:sz w:val="22"/>
              </w:rPr>
            </w:pPr>
            <w:r>
              <w:rPr>
                <w:w w:val="100"/>
                <w:sz w:val="22"/>
              </w:rPr>
              <w:t>4</w:t>
            </w:r>
          </w:p>
        </w:tc>
        <w:tc>
          <w:tcPr>
            <w:tcW w:w="1508" w:type="dxa"/>
            <w:tcBorders>
              <w:left w:val="nil"/>
            </w:tcBorders>
            <w:shd w:val="clear" w:color="auto" w:fill="E6EDD4"/>
          </w:tcPr>
          <w:p>
            <w:pPr>
              <w:pStyle w:val="TableParagraph"/>
              <w:ind w:left="430"/>
              <w:rPr>
                <w:sz w:val="22"/>
              </w:rPr>
            </w:pPr>
            <w:r>
              <w:rPr>
                <w:sz w:val="22"/>
              </w:rPr>
              <w:t>1.982,46</w:t>
            </w:r>
          </w:p>
        </w:tc>
      </w:tr>
      <w:tr>
        <w:trPr>
          <w:trHeight w:val="251" w:hRule="atLeast"/>
        </w:trPr>
        <w:tc>
          <w:tcPr>
            <w:tcW w:w="2801" w:type="dxa"/>
            <w:tcBorders>
              <w:right w:val="nil"/>
            </w:tcBorders>
          </w:tcPr>
          <w:p>
            <w:pPr>
              <w:pStyle w:val="TableParagraph"/>
              <w:spacing w:line="231" w:lineRule="exact"/>
              <w:rPr>
                <w:b/>
                <w:sz w:val="22"/>
              </w:rPr>
            </w:pPr>
            <w:r>
              <w:rPr>
                <w:b/>
                <w:sz w:val="22"/>
              </w:rPr>
              <w:t>ANGLÈS</w:t>
            </w:r>
          </w:p>
        </w:tc>
        <w:tc>
          <w:tcPr>
            <w:tcW w:w="823" w:type="dxa"/>
            <w:tcBorders>
              <w:left w:val="nil"/>
              <w:right w:val="nil"/>
            </w:tcBorders>
          </w:tcPr>
          <w:p>
            <w:pPr>
              <w:pStyle w:val="TableParagraph"/>
              <w:spacing w:line="231" w:lineRule="exact"/>
              <w:ind w:left="117"/>
              <w:rPr>
                <w:sz w:val="22"/>
              </w:rPr>
            </w:pPr>
            <w:r>
              <w:rPr>
                <w:w w:val="100"/>
                <w:sz w:val="22"/>
              </w:rPr>
              <w:t>4</w:t>
            </w:r>
          </w:p>
        </w:tc>
        <w:tc>
          <w:tcPr>
            <w:tcW w:w="1508" w:type="dxa"/>
            <w:tcBorders>
              <w:left w:val="nil"/>
            </w:tcBorders>
          </w:tcPr>
          <w:p>
            <w:pPr>
              <w:pStyle w:val="TableParagraph"/>
              <w:spacing w:line="231" w:lineRule="exact"/>
              <w:ind w:left="430"/>
              <w:rPr>
                <w:sz w:val="22"/>
              </w:rPr>
            </w:pPr>
            <w:r>
              <w:rPr>
                <w:sz w:val="22"/>
              </w:rPr>
              <w:t>1.982,46</w:t>
            </w:r>
          </w:p>
        </w:tc>
      </w:tr>
      <w:tr>
        <w:trPr>
          <w:trHeight w:val="253" w:hRule="atLeast"/>
        </w:trPr>
        <w:tc>
          <w:tcPr>
            <w:tcW w:w="2801" w:type="dxa"/>
            <w:tcBorders>
              <w:right w:val="nil"/>
            </w:tcBorders>
            <w:shd w:val="clear" w:color="auto" w:fill="E6EDD4"/>
          </w:tcPr>
          <w:p>
            <w:pPr>
              <w:pStyle w:val="TableParagraph"/>
              <w:rPr>
                <w:b/>
                <w:sz w:val="22"/>
              </w:rPr>
            </w:pPr>
            <w:r>
              <w:rPr>
                <w:b/>
                <w:sz w:val="22"/>
              </w:rPr>
              <w:t>CELRÀ</w:t>
            </w:r>
          </w:p>
        </w:tc>
        <w:tc>
          <w:tcPr>
            <w:tcW w:w="823" w:type="dxa"/>
            <w:tcBorders>
              <w:left w:val="nil"/>
              <w:right w:val="nil"/>
            </w:tcBorders>
            <w:shd w:val="clear" w:color="auto" w:fill="E6EDD4"/>
          </w:tcPr>
          <w:p>
            <w:pPr>
              <w:pStyle w:val="TableParagraph"/>
              <w:ind w:left="117"/>
              <w:rPr>
                <w:sz w:val="22"/>
              </w:rPr>
            </w:pPr>
            <w:r>
              <w:rPr>
                <w:w w:val="100"/>
                <w:sz w:val="22"/>
              </w:rPr>
              <w:t>4</w:t>
            </w:r>
          </w:p>
        </w:tc>
        <w:tc>
          <w:tcPr>
            <w:tcW w:w="1508" w:type="dxa"/>
            <w:tcBorders>
              <w:left w:val="nil"/>
            </w:tcBorders>
            <w:shd w:val="clear" w:color="auto" w:fill="E6EDD4"/>
          </w:tcPr>
          <w:p>
            <w:pPr>
              <w:pStyle w:val="TableParagraph"/>
              <w:ind w:left="430"/>
              <w:rPr>
                <w:sz w:val="22"/>
              </w:rPr>
            </w:pPr>
            <w:r>
              <w:rPr>
                <w:sz w:val="22"/>
              </w:rPr>
              <w:t>1.982,46</w:t>
            </w:r>
          </w:p>
        </w:tc>
      </w:tr>
      <w:tr>
        <w:trPr>
          <w:trHeight w:val="253" w:hRule="atLeast"/>
        </w:trPr>
        <w:tc>
          <w:tcPr>
            <w:tcW w:w="2801" w:type="dxa"/>
            <w:tcBorders>
              <w:right w:val="nil"/>
            </w:tcBorders>
          </w:tcPr>
          <w:p>
            <w:pPr>
              <w:pStyle w:val="TableParagraph"/>
              <w:rPr>
                <w:b/>
                <w:sz w:val="22"/>
              </w:rPr>
            </w:pPr>
            <w:r>
              <w:rPr>
                <w:b/>
                <w:sz w:val="22"/>
              </w:rPr>
              <w:t>RODA DE TER</w:t>
            </w:r>
          </w:p>
        </w:tc>
        <w:tc>
          <w:tcPr>
            <w:tcW w:w="823" w:type="dxa"/>
            <w:tcBorders>
              <w:left w:val="nil"/>
              <w:right w:val="nil"/>
            </w:tcBorders>
          </w:tcPr>
          <w:p>
            <w:pPr>
              <w:pStyle w:val="TableParagraph"/>
              <w:ind w:left="117"/>
              <w:rPr>
                <w:sz w:val="22"/>
              </w:rPr>
            </w:pPr>
            <w:r>
              <w:rPr>
                <w:w w:val="100"/>
                <w:sz w:val="22"/>
              </w:rPr>
              <w:t>4</w:t>
            </w:r>
          </w:p>
        </w:tc>
        <w:tc>
          <w:tcPr>
            <w:tcW w:w="1508" w:type="dxa"/>
            <w:tcBorders>
              <w:left w:val="nil"/>
            </w:tcBorders>
          </w:tcPr>
          <w:p>
            <w:pPr>
              <w:pStyle w:val="TableParagraph"/>
              <w:ind w:left="430"/>
              <w:rPr>
                <w:sz w:val="22"/>
              </w:rPr>
            </w:pPr>
            <w:r>
              <w:rPr>
                <w:sz w:val="22"/>
              </w:rPr>
              <w:t>1.982,46</w:t>
            </w:r>
          </w:p>
        </w:tc>
      </w:tr>
      <w:tr>
        <w:trPr>
          <w:trHeight w:val="253" w:hRule="atLeast"/>
        </w:trPr>
        <w:tc>
          <w:tcPr>
            <w:tcW w:w="2801" w:type="dxa"/>
            <w:tcBorders>
              <w:right w:val="nil"/>
            </w:tcBorders>
            <w:shd w:val="clear" w:color="auto" w:fill="E6EDD4"/>
          </w:tcPr>
          <w:p>
            <w:pPr>
              <w:pStyle w:val="TableParagraph"/>
              <w:rPr>
                <w:b/>
                <w:sz w:val="22"/>
              </w:rPr>
            </w:pPr>
            <w:r>
              <w:rPr>
                <w:b/>
                <w:sz w:val="22"/>
              </w:rPr>
              <w:t>SANT HILARI SACALM</w:t>
            </w:r>
          </w:p>
        </w:tc>
        <w:tc>
          <w:tcPr>
            <w:tcW w:w="823" w:type="dxa"/>
            <w:tcBorders>
              <w:left w:val="nil"/>
              <w:right w:val="nil"/>
            </w:tcBorders>
            <w:shd w:val="clear" w:color="auto" w:fill="E6EDD4"/>
          </w:tcPr>
          <w:p>
            <w:pPr>
              <w:pStyle w:val="TableParagraph"/>
              <w:ind w:left="117"/>
              <w:rPr>
                <w:sz w:val="22"/>
              </w:rPr>
            </w:pPr>
            <w:r>
              <w:rPr>
                <w:w w:val="100"/>
                <w:sz w:val="22"/>
              </w:rPr>
              <w:t>4</w:t>
            </w:r>
          </w:p>
        </w:tc>
        <w:tc>
          <w:tcPr>
            <w:tcW w:w="1508" w:type="dxa"/>
            <w:tcBorders>
              <w:left w:val="nil"/>
            </w:tcBorders>
            <w:shd w:val="clear" w:color="auto" w:fill="E6EDD4"/>
          </w:tcPr>
          <w:p>
            <w:pPr>
              <w:pStyle w:val="TableParagraph"/>
              <w:ind w:left="430"/>
              <w:rPr>
                <w:sz w:val="22"/>
              </w:rPr>
            </w:pPr>
            <w:r>
              <w:rPr>
                <w:sz w:val="22"/>
              </w:rPr>
              <w:t>1.982,46</w:t>
            </w:r>
          </w:p>
        </w:tc>
      </w:tr>
      <w:tr>
        <w:trPr>
          <w:trHeight w:val="505" w:hRule="atLeast"/>
        </w:trPr>
        <w:tc>
          <w:tcPr>
            <w:tcW w:w="2801" w:type="dxa"/>
            <w:tcBorders>
              <w:right w:val="nil"/>
            </w:tcBorders>
          </w:tcPr>
          <w:p>
            <w:pPr>
              <w:pStyle w:val="TableParagraph"/>
              <w:tabs>
                <w:tab w:pos="2384" w:val="left" w:leader="none"/>
              </w:tabs>
              <w:spacing w:line="247" w:lineRule="exact"/>
              <w:rPr>
                <w:b/>
                <w:sz w:val="22"/>
              </w:rPr>
            </w:pPr>
            <w:r>
              <w:rPr>
                <w:b/>
                <w:sz w:val="22"/>
              </w:rPr>
              <w:t>TORROELLA</w:t>
              <w:tab/>
              <w:t>DE</w:t>
            </w:r>
          </w:p>
          <w:p>
            <w:pPr>
              <w:pStyle w:val="TableParagraph"/>
              <w:spacing w:line="238" w:lineRule="exact"/>
              <w:rPr>
                <w:b/>
                <w:sz w:val="22"/>
              </w:rPr>
            </w:pPr>
            <w:r>
              <w:rPr>
                <w:b/>
                <w:sz w:val="22"/>
              </w:rPr>
              <w:t>MONTGRÍ</w:t>
            </w:r>
          </w:p>
        </w:tc>
        <w:tc>
          <w:tcPr>
            <w:tcW w:w="823" w:type="dxa"/>
            <w:tcBorders>
              <w:left w:val="nil"/>
              <w:right w:val="nil"/>
            </w:tcBorders>
          </w:tcPr>
          <w:p>
            <w:pPr>
              <w:pStyle w:val="TableParagraph"/>
              <w:spacing w:line="250" w:lineRule="exact"/>
              <w:ind w:left="117"/>
              <w:rPr>
                <w:sz w:val="22"/>
              </w:rPr>
            </w:pPr>
            <w:r>
              <w:rPr>
                <w:w w:val="100"/>
                <w:sz w:val="22"/>
              </w:rPr>
              <w:t>6</w:t>
            </w:r>
          </w:p>
        </w:tc>
        <w:tc>
          <w:tcPr>
            <w:tcW w:w="1508" w:type="dxa"/>
            <w:tcBorders>
              <w:left w:val="nil"/>
            </w:tcBorders>
          </w:tcPr>
          <w:p>
            <w:pPr>
              <w:pStyle w:val="TableParagraph"/>
              <w:spacing w:line="250" w:lineRule="exact"/>
              <w:ind w:left="430"/>
              <w:rPr>
                <w:sz w:val="22"/>
              </w:rPr>
            </w:pPr>
            <w:r>
              <w:rPr>
                <w:sz w:val="22"/>
              </w:rPr>
              <w:t>3.227,56</w:t>
            </w:r>
          </w:p>
        </w:tc>
      </w:tr>
      <w:tr>
        <w:trPr>
          <w:trHeight w:val="251" w:hRule="atLeast"/>
        </w:trPr>
        <w:tc>
          <w:tcPr>
            <w:tcW w:w="2801" w:type="dxa"/>
            <w:tcBorders>
              <w:right w:val="nil"/>
            </w:tcBorders>
            <w:shd w:val="clear" w:color="auto" w:fill="E6EDD4"/>
          </w:tcPr>
          <w:p>
            <w:pPr>
              <w:pStyle w:val="TableParagraph"/>
              <w:spacing w:line="231" w:lineRule="exact"/>
              <w:rPr>
                <w:b/>
                <w:sz w:val="22"/>
              </w:rPr>
            </w:pPr>
            <w:r>
              <w:rPr>
                <w:b/>
                <w:sz w:val="22"/>
              </w:rPr>
              <w:t>RIPOLL</w:t>
            </w:r>
          </w:p>
        </w:tc>
        <w:tc>
          <w:tcPr>
            <w:tcW w:w="823" w:type="dxa"/>
            <w:tcBorders>
              <w:left w:val="nil"/>
              <w:right w:val="nil"/>
            </w:tcBorders>
            <w:shd w:val="clear" w:color="auto" w:fill="E6EDD4"/>
          </w:tcPr>
          <w:p>
            <w:pPr>
              <w:pStyle w:val="TableParagraph"/>
              <w:spacing w:line="231" w:lineRule="exact"/>
              <w:ind w:left="117"/>
              <w:rPr>
                <w:sz w:val="22"/>
              </w:rPr>
            </w:pPr>
            <w:r>
              <w:rPr>
                <w:w w:val="100"/>
                <w:sz w:val="22"/>
              </w:rPr>
              <w:t>6</w:t>
            </w:r>
          </w:p>
        </w:tc>
        <w:tc>
          <w:tcPr>
            <w:tcW w:w="1508" w:type="dxa"/>
            <w:tcBorders>
              <w:left w:val="nil"/>
            </w:tcBorders>
            <w:shd w:val="clear" w:color="auto" w:fill="E6EDD4"/>
          </w:tcPr>
          <w:p>
            <w:pPr>
              <w:pStyle w:val="TableParagraph"/>
              <w:spacing w:line="231" w:lineRule="exact"/>
              <w:ind w:left="430"/>
              <w:rPr>
                <w:sz w:val="22"/>
              </w:rPr>
            </w:pPr>
            <w:r>
              <w:rPr>
                <w:sz w:val="22"/>
              </w:rPr>
              <w:t>3.227,56</w:t>
            </w:r>
          </w:p>
        </w:tc>
      </w:tr>
      <w:tr>
        <w:trPr>
          <w:trHeight w:val="254" w:hRule="atLeast"/>
        </w:trPr>
        <w:tc>
          <w:tcPr>
            <w:tcW w:w="2801" w:type="dxa"/>
            <w:tcBorders>
              <w:right w:val="nil"/>
            </w:tcBorders>
          </w:tcPr>
          <w:p>
            <w:pPr>
              <w:pStyle w:val="TableParagraph"/>
              <w:rPr>
                <w:b/>
                <w:sz w:val="22"/>
              </w:rPr>
            </w:pPr>
            <w:r>
              <w:rPr>
                <w:b/>
                <w:sz w:val="22"/>
              </w:rPr>
              <w:t>TORELLÓ</w:t>
            </w:r>
          </w:p>
        </w:tc>
        <w:tc>
          <w:tcPr>
            <w:tcW w:w="823" w:type="dxa"/>
            <w:tcBorders>
              <w:left w:val="nil"/>
              <w:right w:val="nil"/>
            </w:tcBorders>
          </w:tcPr>
          <w:p>
            <w:pPr>
              <w:pStyle w:val="TableParagraph"/>
              <w:ind w:left="117"/>
              <w:rPr>
                <w:sz w:val="22"/>
              </w:rPr>
            </w:pPr>
            <w:r>
              <w:rPr>
                <w:w w:val="100"/>
                <w:sz w:val="22"/>
              </w:rPr>
              <w:t>7</w:t>
            </w:r>
          </w:p>
        </w:tc>
        <w:tc>
          <w:tcPr>
            <w:tcW w:w="1508" w:type="dxa"/>
            <w:tcBorders>
              <w:left w:val="nil"/>
            </w:tcBorders>
          </w:tcPr>
          <w:p>
            <w:pPr>
              <w:pStyle w:val="TableParagraph"/>
              <w:ind w:left="430"/>
              <w:rPr>
                <w:sz w:val="22"/>
              </w:rPr>
            </w:pPr>
            <w:r>
              <w:rPr>
                <w:sz w:val="22"/>
              </w:rPr>
              <w:t>4.883,08</w:t>
            </w:r>
          </w:p>
        </w:tc>
      </w:tr>
      <w:tr>
        <w:trPr>
          <w:trHeight w:val="253" w:hRule="atLeast"/>
        </w:trPr>
        <w:tc>
          <w:tcPr>
            <w:tcW w:w="2801" w:type="dxa"/>
            <w:tcBorders>
              <w:right w:val="nil"/>
            </w:tcBorders>
            <w:shd w:val="clear" w:color="auto" w:fill="E6EDD4"/>
          </w:tcPr>
          <w:p>
            <w:pPr>
              <w:pStyle w:val="TableParagraph"/>
              <w:rPr>
                <w:b/>
                <w:sz w:val="22"/>
              </w:rPr>
            </w:pPr>
            <w:r>
              <w:rPr>
                <w:b/>
                <w:sz w:val="22"/>
              </w:rPr>
              <w:t>MANLLEU</w:t>
            </w:r>
          </w:p>
        </w:tc>
        <w:tc>
          <w:tcPr>
            <w:tcW w:w="823" w:type="dxa"/>
            <w:tcBorders>
              <w:left w:val="nil"/>
              <w:right w:val="nil"/>
            </w:tcBorders>
            <w:shd w:val="clear" w:color="auto" w:fill="E6EDD4"/>
          </w:tcPr>
          <w:p>
            <w:pPr>
              <w:pStyle w:val="TableParagraph"/>
              <w:ind w:left="117"/>
              <w:rPr>
                <w:sz w:val="22"/>
              </w:rPr>
            </w:pPr>
            <w:r>
              <w:rPr>
                <w:w w:val="100"/>
                <w:sz w:val="22"/>
              </w:rPr>
              <w:t>7</w:t>
            </w:r>
          </w:p>
        </w:tc>
        <w:tc>
          <w:tcPr>
            <w:tcW w:w="1508" w:type="dxa"/>
            <w:tcBorders>
              <w:left w:val="nil"/>
            </w:tcBorders>
            <w:shd w:val="clear" w:color="auto" w:fill="E6EDD4"/>
          </w:tcPr>
          <w:p>
            <w:pPr>
              <w:pStyle w:val="TableParagraph"/>
              <w:ind w:left="430"/>
              <w:rPr>
                <w:sz w:val="22"/>
              </w:rPr>
            </w:pPr>
            <w:r>
              <w:rPr>
                <w:sz w:val="22"/>
              </w:rPr>
              <w:t>4.883,08</w:t>
            </w:r>
          </w:p>
        </w:tc>
      </w:tr>
      <w:tr>
        <w:trPr>
          <w:trHeight w:val="253" w:hRule="atLeast"/>
        </w:trPr>
        <w:tc>
          <w:tcPr>
            <w:tcW w:w="2801" w:type="dxa"/>
            <w:tcBorders>
              <w:right w:val="nil"/>
            </w:tcBorders>
          </w:tcPr>
          <w:p>
            <w:pPr>
              <w:pStyle w:val="TableParagraph"/>
              <w:rPr>
                <w:b/>
                <w:sz w:val="22"/>
              </w:rPr>
            </w:pPr>
            <w:r>
              <w:rPr>
                <w:b/>
                <w:sz w:val="22"/>
              </w:rPr>
              <w:t>SALT</w:t>
            </w:r>
          </w:p>
        </w:tc>
        <w:tc>
          <w:tcPr>
            <w:tcW w:w="823" w:type="dxa"/>
            <w:tcBorders>
              <w:left w:val="nil"/>
              <w:right w:val="nil"/>
            </w:tcBorders>
          </w:tcPr>
          <w:p>
            <w:pPr>
              <w:pStyle w:val="TableParagraph"/>
              <w:ind w:left="117"/>
              <w:rPr>
                <w:sz w:val="22"/>
              </w:rPr>
            </w:pPr>
            <w:r>
              <w:rPr>
                <w:w w:val="100"/>
                <w:sz w:val="22"/>
              </w:rPr>
              <w:t>8</w:t>
            </w:r>
          </w:p>
        </w:tc>
        <w:tc>
          <w:tcPr>
            <w:tcW w:w="1508" w:type="dxa"/>
            <w:tcBorders>
              <w:left w:val="nil"/>
            </w:tcBorders>
          </w:tcPr>
          <w:p>
            <w:pPr>
              <w:pStyle w:val="TableParagraph"/>
              <w:ind w:left="430"/>
              <w:rPr>
                <w:sz w:val="22"/>
              </w:rPr>
            </w:pPr>
            <w:r>
              <w:rPr>
                <w:sz w:val="22"/>
              </w:rPr>
              <w:t>6.156,04</w:t>
            </w:r>
          </w:p>
        </w:tc>
      </w:tr>
      <w:tr>
        <w:trPr>
          <w:trHeight w:val="251" w:hRule="atLeast"/>
        </w:trPr>
        <w:tc>
          <w:tcPr>
            <w:tcW w:w="2801" w:type="dxa"/>
            <w:tcBorders>
              <w:right w:val="nil"/>
            </w:tcBorders>
            <w:shd w:val="clear" w:color="auto" w:fill="E6EDD4"/>
          </w:tcPr>
          <w:p>
            <w:pPr>
              <w:pStyle w:val="TableParagraph"/>
              <w:spacing w:line="231" w:lineRule="exact"/>
              <w:rPr>
                <w:b/>
                <w:sz w:val="22"/>
              </w:rPr>
            </w:pPr>
            <w:r>
              <w:rPr>
                <w:b/>
                <w:sz w:val="22"/>
              </w:rPr>
              <w:t>VIC*</w:t>
            </w:r>
          </w:p>
        </w:tc>
        <w:tc>
          <w:tcPr>
            <w:tcW w:w="823" w:type="dxa"/>
            <w:tcBorders>
              <w:left w:val="nil"/>
              <w:right w:val="nil"/>
            </w:tcBorders>
            <w:shd w:val="clear" w:color="auto" w:fill="E6EDD4"/>
          </w:tcPr>
          <w:p>
            <w:pPr>
              <w:pStyle w:val="TableParagraph"/>
              <w:spacing w:line="231" w:lineRule="exact"/>
              <w:ind w:left="117"/>
              <w:rPr>
                <w:sz w:val="22"/>
              </w:rPr>
            </w:pPr>
            <w:r>
              <w:rPr>
                <w:sz w:val="22"/>
              </w:rPr>
              <w:t>8*</w:t>
            </w:r>
          </w:p>
        </w:tc>
        <w:tc>
          <w:tcPr>
            <w:tcW w:w="1508" w:type="dxa"/>
            <w:tcBorders>
              <w:left w:val="nil"/>
            </w:tcBorders>
            <w:shd w:val="clear" w:color="auto" w:fill="E6EDD4"/>
          </w:tcPr>
          <w:p>
            <w:pPr>
              <w:pStyle w:val="TableParagraph"/>
              <w:spacing w:line="231" w:lineRule="exact"/>
              <w:ind w:left="430"/>
              <w:rPr>
                <w:sz w:val="22"/>
              </w:rPr>
            </w:pPr>
            <w:r>
              <w:rPr>
                <w:sz w:val="22"/>
              </w:rPr>
              <w:t>3.078,02</w:t>
            </w:r>
          </w:p>
        </w:tc>
      </w:tr>
      <w:tr>
        <w:trPr>
          <w:trHeight w:val="253" w:hRule="atLeast"/>
        </w:trPr>
        <w:tc>
          <w:tcPr>
            <w:tcW w:w="2801" w:type="dxa"/>
            <w:tcBorders>
              <w:right w:val="nil"/>
            </w:tcBorders>
          </w:tcPr>
          <w:p>
            <w:pPr>
              <w:pStyle w:val="TableParagraph"/>
              <w:rPr>
                <w:b/>
                <w:sz w:val="22"/>
              </w:rPr>
            </w:pPr>
            <w:r>
              <w:rPr>
                <w:b/>
                <w:sz w:val="22"/>
              </w:rPr>
              <w:t>GIRONA</w:t>
            </w:r>
          </w:p>
        </w:tc>
        <w:tc>
          <w:tcPr>
            <w:tcW w:w="823" w:type="dxa"/>
            <w:tcBorders>
              <w:left w:val="nil"/>
              <w:right w:val="nil"/>
            </w:tcBorders>
          </w:tcPr>
          <w:p>
            <w:pPr>
              <w:pStyle w:val="TableParagraph"/>
              <w:ind w:left="117"/>
              <w:rPr>
                <w:sz w:val="22"/>
              </w:rPr>
            </w:pPr>
            <w:r>
              <w:rPr>
                <w:sz w:val="22"/>
              </w:rPr>
              <w:t>9**</w:t>
            </w:r>
          </w:p>
        </w:tc>
        <w:tc>
          <w:tcPr>
            <w:tcW w:w="1508" w:type="dxa"/>
            <w:tcBorders>
              <w:left w:val="nil"/>
            </w:tcBorders>
          </w:tcPr>
          <w:p>
            <w:pPr>
              <w:pStyle w:val="TableParagraph"/>
              <w:ind w:left="430"/>
              <w:rPr>
                <w:sz w:val="22"/>
              </w:rPr>
            </w:pPr>
            <w:r>
              <w:rPr>
                <w:sz w:val="22"/>
              </w:rPr>
              <w:t>12.520,78</w:t>
            </w:r>
          </w:p>
        </w:tc>
      </w:tr>
    </w:tbl>
    <w:p>
      <w:pPr>
        <w:pStyle w:val="BodyText"/>
        <w:rPr>
          <w:rFonts w:ascii="Times New Roman"/>
          <w:sz w:val="20"/>
        </w:rPr>
      </w:pPr>
    </w:p>
    <w:p>
      <w:pPr>
        <w:pStyle w:val="BodyText"/>
        <w:spacing w:before="8"/>
        <w:rPr>
          <w:rFonts w:ascii="Times New Roman"/>
          <w:sz w:val="15"/>
        </w:rPr>
      </w:pPr>
    </w:p>
    <w:p>
      <w:pPr>
        <w:pStyle w:val="ListParagraph"/>
        <w:numPr>
          <w:ilvl w:val="0"/>
          <w:numId w:val="8"/>
        </w:numPr>
        <w:tabs>
          <w:tab w:pos="1014" w:val="left" w:leader="none"/>
        </w:tabs>
        <w:spacing w:line="240" w:lineRule="auto" w:before="93" w:after="0"/>
        <w:ind w:left="1025" w:right="271" w:hanging="360"/>
        <w:jc w:val="left"/>
        <w:rPr>
          <w:sz w:val="22"/>
        </w:rPr>
      </w:pPr>
      <w:r>
        <w:rPr>
          <w:sz w:val="22"/>
        </w:rPr>
        <w:t>En els mateixos acords es va aprovar sotmetre l’expedient de modificació, sol·licitant la ratificació de la modificació per part de cada un dels seus</w:t>
      </w:r>
      <w:r>
        <w:rPr>
          <w:spacing w:val="-31"/>
          <w:sz w:val="22"/>
        </w:rPr>
        <w:t> </w:t>
      </w:r>
      <w:r>
        <w:rPr>
          <w:sz w:val="22"/>
        </w:rPr>
        <w:t>membres.</w:t>
      </w:r>
    </w:p>
    <w:p>
      <w:pPr>
        <w:pStyle w:val="BodyText"/>
      </w:pPr>
    </w:p>
    <w:p>
      <w:pPr>
        <w:pStyle w:val="Heading1"/>
        <w:jc w:val="left"/>
      </w:pPr>
      <w:r>
        <w:rPr/>
        <w:t>Fonaments de dret</w:t>
      </w:r>
    </w:p>
    <w:p>
      <w:pPr>
        <w:pStyle w:val="BodyText"/>
        <w:rPr>
          <w:b/>
        </w:rPr>
      </w:pPr>
    </w:p>
    <w:p>
      <w:pPr>
        <w:pStyle w:val="ListParagraph"/>
        <w:numPr>
          <w:ilvl w:val="0"/>
          <w:numId w:val="9"/>
        </w:numPr>
        <w:tabs>
          <w:tab w:pos="1014" w:val="left" w:leader="none"/>
        </w:tabs>
        <w:spacing w:line="240" w:lineRule="auto" w:before="0" w:after="0"/>
        <w:ind w:left="1025" w:right="270" w:hanging="483"/>
        <w:jc w:val="both"/>
        <w:rPr>
          <w:sz w:val="22"/>
        </w:rPr>
      </w:pPr>
      <w:r>
        <w:rPr>
          <w:sz w:val="22"/>
        </w:rPr>
        <w:t>L’article 118 de la Llei 40/2015, d’1 d’octubre, de règim jurídic del sector públic, preveu que els Consorcis són entitats de dret públic, amb personalitat jurídica pròpia i diferenciada, creades per diverses administracions públiques o entitats integrants del sector públic institucional, entre sí o amb la participació d’entitats privades pel desenvolupament d’activitats d’interès comú a totes elles dins de l’àmbit de les seves competències. Els articles 119 i següents del citat text legal regulen el règim jurídic, el règim d’adscripció, el règim de personal, pressupostari i de comptabilitat i control econòmic financer, la creació, la dissolució, la separació i el contingut dels</w:t>
      </w:r>
      <w:r>
        <w:rPr>
          <w:spacing w:val="-2"/>
          <w:sz w:val="22"/>
        </w:rPr>
        <w:t> </w:t>
      </w:r>
      <w:r>
        <w:rPr>
          <w:sz w:val="22"/>
        </w:rPr>
        <w:t>estatuts.</w:t>
      </w:r>
    </w:p>
    <w:p>
      <w:pPr>
        <w:pStyle w:val="BodyText"/>
      </w:pPr>
    </w:p>
    <w:p>
      <w:pPr>
        <w:pStyle w:val="ListParagraph"/>
        <w:numPr>
          <w:ilvl w:val="0"/>
          <w:numId w:val="9"/>
        </w:numPr>
        <w:tabs>
          <w:tab w:pos="1014" w:val="left" w:leader="none"/>
        </w:tabs>
        <w:spacing w:line="240" w:lineRule="auto" w:before="0" w:after="0"/>
        <w:ind w:left="1025" w:right="271" w:hanging="543"/>
        <w:jc w:val="both"/>
        <w:rPr>
          <w:sz w:val="22"/>
        </w:rPr>
      </w:pPr>
      <w:r>
        <w:rPr>
          <w:sz w:val="22"/>
        </w:rPr>
        <w:t>Els articles 269 i següents del Decret legislatiu 2/2003, de 28 d’abril, pel qual s’aprova el Text refós de la Llei municipal i del règim local de Catalunya (TRLMRLC) preveuen aquesta entitat pública de caràcter associatiu i regula, entre altres, el règim i els</w:t>
      </w:r>
      <w:r>
        <w:rPr>
          <w:spacing w:val="-6"/>
          <w:sz w:val="22"/>
        </w:rPr>
        <w:t> </w:t>
      </w:r>
      <w:r>
        <w:rPr>
          <w:sz w:val="22"/>
        </w:rPr>
        <w:t>estatus.</w:t>
      </w:r>
    </w:p>
    <w:p>
      <w:pPr>
        <w:pStyle w:val="BodyText"/>
        <w:spacing w:before="1"/>
      </w:pPr>
    </w:p>
    <w:p>
      <w:pPr>
        <w:pStyle w:val="ListParagraph"/>
        <w:numPr>
          <w:ilvl w:val="0"/>
          <w:numId w:val="9"/>
        </w:numPr>
        <w:tabs>
          <w:tab w:pos="1014" w:val="left" w:leader="none"/>
        </w:tabs>
        <w:spacing w:line="240" w:lineRule="auto" w:before="0" w:after="0"/>
        <w:ind w:left="1025" w:right="269" w:hanging="605"/>
        <w:jc w:val="both"/>
        <w:rPr>
          <w:sz w:val="22"/>
        </w:rPr>
      </w:pPr>
      <w:r>
        <w:rPr>
          <w:sz w:val="22"/>
        </w:rPr>
        <w:t>Els articles 312 a 324 del Reglament d’obres, activitats i serveis dels ens locals, aprovat pel Decret 179/1995 de 13 de juny (ROAS) que regulen reglamentàriament i per tant amb un major detall aquests ens. Concretament, l’article 322 del Reglament relatiu a la modificació dels estatuts del consorci preveu que s’adopta amb l’acord previ del seu òrgan superior de govern, que ha de ser ratificada pels ens, les administracions i altres entitats consorciades i acordada amb les mateixes formalitats per a l’aprovació previst al seu torn als articles 313 i</w:t>
      </w:r>
      <w:r>
        <w:rPr>
          <w:spacing w:val="-3"/>
          <w:sz w:val="22"/>
        </w:rPr>
        <w:t> </w:t>
      </w:r>
      <w:r>
        <w:rPr>
          <w:sz w:val="22"/>
        </w:rPr>
        <w:t>següents.</w:t>
      </w:r>
    </w:p>
    <w:p>
      <w:pPr>
        <w:pStyle w:val="BodyText"/>
        <w:spacing w:before="1"/>
      </w:pPr>
    </w:p>
    <w:p>
      <w:pPr>
        <w:pStyle w:val="ListParagraph"/>
        <w:numPr>
          <w:ilvl w:val="0"/>
          <w:numId w:val="9"/>
        </w:numPr>
        <w:tabs>
          <w:tab w:pos="1014" w:val="left" w:leader="none"/>
        </w:tabs>
        <w:spacing w:line="240" w:lineRule="auto" w:before="0" w:after="0"/>
        <w:ind w:left="1025" w:right="273" w:hanging="629"/>
        <w:jc w:val="both"/>
        <w:rPr>
          <w:sz w:val="22"/>
        </w:rPr>
      </w:pPr>
      <w:r>
        <w:rPr>
          <w:sz w:val="22"/>
        </w:rPr>
        <w:t>La modificació dels Estatuts requereix el quòrum de la majoria absoluta del nombre legal de regidors, d’acord amb el que preveu l'article 47.2.g) de la LRBRL</w:t>
      </w:r>
      <w:r>
        <w:rPr>
          <w:spacing w:val="-41"/>
          <w:sz w:val="22"/>
        </w:rPr>
        <w:t> </w:t>
      </w:r>
      <w:r>
        <w:rPr>
          <w:sz w:val="22"/>
        </w:rPr>
        <w:t>i</w:t>
      </w:r>
    </w:p>
    <w:p>
      <w:pPr>
        <w:pStyle w:val="BodyText"/>
        <w:ind w:left="1025"/>
      </w:pPr>
      <w:r>
        <w:rPr/>
        <w:t>313.2 ROAS.</w:t>
      </w:r>
    </w:p>
    <w:p>
      <w:pPr>
        <w:pStyle w:val="BodyText"/>
        <w:spacing w:before="1"/>
      </w:pPr>
    </w:p>
    <w:p>
      <w:pPr>
        <w:pStyle w:val="ListParagraph"/>
        <w:numPr>
          <w:ilvl w:val="0"/>
          <w:numId w:val="9"/>
        </w:numPr>
        <w:tabs>
          <w:tab w:pos="1014" w:val="left" w:leader="none"/>
        </w:tabs>
        <w:spacing w:line="240" w:lineRule="auto" w:before="0" w:after="0"/>
        <w:ind w:left="1025" w:right="273" w:hanging="569"/>
        <w:jc w:val="both"/>
        <w:rPr>
          <w:sz w:val="22"/>
        </w:rPr>
      </w:pPr>
      <w:r>
        <w:rPr>
          <w:sz w:val="22"/>
        </w:rPr>
        <w:t>Els acords plenaris que requereixen per la seva adopció el quòrum de majoria qualificada han de ser informats prèviament per la secretaria de la Corporació i tots aquells amb repercussió econòmica, financera o patrimonial, a més per la Intervenció municipal de conformitat amb el que disposen els articles 54.1 b) del Text</w:t>
      </w:r>
      <w:r>
        <w:rPr>
          <w:spacing w:val="17"/>
          <w:sz w:val="22"/>
        </w:rPr>
        <w:t> </w:t>
      </w:r>
      <w:r>
        <w:rPr>
          <w:sz w:val="22"/>
        </w:rPr>
        <w:t>refós</w:t>
      </w:r>
      <w:r>
        <w:rPr>
          <w:spacing w:val="15"/>
          <w:sz w:val="22"/>
        </w:rPr>
        <w:t> </w:t>
      </w:r>
      <w:r>
        <w:rPr>
          <w:sz w:val="22"/>
        </w:rPr>
        <w:t>de</w:t>
      </w:r>
      <w:r>
        <w:rPr>
          <w:spacing w:val="15"/>
          <w:sz w:val="22"/>
        </w:rPr>
        <w:t> </w:t>
      </w:r>
      <w:r>
        <w:rPr>
          <w:sz w:val="22"/>
        </w:rPr>
        <w:t>les</w:t>
      </w:r>
      <w:r>
        <w:rPr>
          <w:spacing w:val="15"/>
          <w:sz w:val="22"/>
        </w:rPr>
        <w:t> </w:t>
      </w:r>
      <w:r>
        <w:rPr>
          <w:sz w:val="22"/>
        </w:rPr>
        <w:t>disposicions</w:t>
      </w:r>
      <w:r>
        <w:rPr>
          <w:spacing w:val="16"/>
          <w:sz w:val="22"/>
        </w:rPr>
        <w:t> </w:t>
      </w:r>
      <w:r>
        <w:rPr>
          <w:sz w:val="22"/>
        </w:rPr>
        <w:t>legals</w:t>
      </w:r>
      <w:r>
        <w:rPr>
          <w:spacing w:val="16"/>
          <w:sz w:val="22"/>
        </w:rPr>
        <w:t> </w:t>
      </w:r>
      <w:r>
        <w:rPr>
          <w:sz w:val="22"/>
        </w:rPr>
        <w:t>vigents</w:t>
      </w:r>
      <w:r>
        <w:rPr>
          <w:spacing w:val="13"/>
          <w:sz w:val="22"/>
        </w:rPr>
        <w:t> </w:t>
      </w:r>
      <w:r>
        <w:rPr>
          <w:sz w:val="22"/>
        </w:rPr>
        <w:t>en</w:t>
      </w:r>
      <w:r>
        <w:rPr>
          <w:spacing w:val="13"/>
          <w:sz w:val="22"/>
        </w:rPr>
        <w:t> </w:t>
      </w:r>
      <w:r>
        <w:rPr>
          <w:sz w:val="22"/>
        </w:rPr>
        <w:t>matèria</w:t>
      </w:r>
      <w:r>
        <w:rPr>
          <w:spacing w:val="15"/>
          <w:sz w:val="22"/>
        </w:rPr>
        <w:t> </w:t>
      </w:r>
      <w:r>
        <w:rPr>
          <w:sz w:val="22"/>
        </w:rPr>
        <w:t>de</w:t>
      </w:r>
      <w:r>
        <w:rPr>
          <w:spacing w:val="15"/>
          <w:sz w:val="22"/>
        </w:rPr>
        <w:t> </w:t>
      </w:r>
      <w:r>
        <w:rPr>
          <w:sz w:val="22"/>
        </w:rPr>
        <w:t>Règim</w:t>
      </w:r>
      <w:r>
        <w:rPr>
          <w:spacing w:val="17"/>
          <w:sz w:val="22"/>
        </w:rPr>
        <w:t> </w:t>
      </w:r>
      <w:r>
        <w:rPr>
          <w:sz w:val="22"/>
        </w:rPr>
        <w:t>Local,</w:t>
      </w:r>
      <w:r>
        <w:rPr>
          <w:spacing w:val="15"/>
          <w:sz w:val="22"/>
        </w:rPr>
        <w:t> </w:t>
      </w:r>
      <w:r>
        <w:rPr>
          <w:sz w:val="22"/>
        </w:rPr>
        <w:t>aprovat</w:t>
      </w:r>
    </w:p>
    <w:p>
      <w:pPr>
        <w:spacing w:after="0" w:line="240" w:lineRule="auto"/>
        <w:jc w:val="both"/>
        <w:rPr>
          <w:sz w:val="22"/>
        </w:rPr>
        <w:sectPr>
          <w:headerReference w:type="default" r:id="rId39"/>
          <w:footerReference w:type="default" r:id="rId40"/>
          <w:pgSz w:w="11910" w:h="16840"/>
          <w:pgMar w:header="766" w:footer="0"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2032"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sz w:val="19"/>
        </w:rPr>
      </w:pPr>
    </w:p>
    <w:p>
      <w:pPr>
        <w:pStyle w:val="BodyText"/>
        <w:spacing w:before="94"/>
        <w:ind w:left="1025" w:right="270"/>
        <w:jc w:val="both"/>
      </w:pPr>
      <w:r>
        <w:rPr/>
        <w:t>per Reial decret legislatiu 781/1986, de 18 d'abril (TRRL), 173 del Reial decret 2568/1986, de 28 de novembre, pel que s’aprova el Reglament d’organització i funcionament i règim jurídic dels ens locals (ROF) i l’esmentat RD 1174/1987.</w:t>
      </w:r>
    </w:p>
    <w:p>
      <w:pPr>
        <w:pStyle w:val="BodyText"/>
        <w:spacing w:before="10"/>
        <w:rPr>
          <w:sz w:val="21"/>
        </w:rPr>
      </w:pPr>
    </w:p>
    <w:p>
      <w:pPr>
        <w:pStyle w:val="BodyText"/>
        <w:ind w:left="305" w:right="275"/>
        <w:jc w:val="both"/>
      </w:pPr>
      <w:r>
        <w:rPr/>
        <w:t>D’acord amb aquests antecedents i fonaments es proposa al Ple, previ dictamen de la comissió informativa corresponent, l’adopció dels següents:</w:t>
      </w:r>
    </w:p>
    <w:p>
      <w:pPr>
        <w:pStyle w:val="BodyText"/>
        <w:spacing w:before="2"/>
      </w:pPr>
    </w:p>
    <w:p>
      <w:pPr>
        <w:pStyle w:val="BodyText"/>
        <w:ind w:left="305"/>
        <w:jc w:val="both"/>
      </w:pPr>
      <w:r>
        <w:rPr/>
        <w:t>ACORDS:</w:t>
      </w:r>
    </w:p>
    <w:p>
      <w:pPr>
        <w:pStyle w:val="BodyText"/>
        <w:spacing w:before="1"/>
      </w:pPr>
    </w:p>
    <w:p>
      <w:pPr>
        <w:pStyle w:val="BodyText"/>
        <w:ind w:left="305" w:right="273"/>
        <w:jc w:val="both"/>
      </w:pPr>
      <w:r>
        <w:rPr/>
        <w:t>PRIMER.- Ratificar la modificació dels Estatuts del Consorci del Ter arrel dels acords adoptats per l’Assemblea en dates 30 de setembre de 2015 i 28 de setembre de 2017 provar la modificació dels Estatuts del Consorci del Ter que consten en la part expositiva d’aquesta resolució.</w:t>
      </w:r>
    </w:p>
    <w:p>
      <w:pPr>
        <w:pStyle w:val="BodyText"/>
      </w:pPr>
    </w:p>
    <w:p>
      <w:pPr>
        <w:pStyle w:val="BodyText"/>
        <w:ind w:left="305" w:right="272"/>
        <w:jc w:val="both"/>
      </w:pPr>
      <w:r>
        <w:rPr/>
        <w:t>SEGON.- Notificar aquest acord al Consorci del Ter i delegar al Consorci la gestió per a la informació pública conjunta de la modificació estatutària, el seguiment de la ratificació per la totalitat dels membres que l’integren, i la comunicació a l’ens d’adscripció i al Registre d’Entitats Locals de la Generalitat de Catalunya.</w:t>
      </w:r>
    </w:p>
    <w:p>
      <w:pPr>
        <w:pStyle w:val="BodyText"/>
        <w:rPr>
          <w:sz w:val="24"/>
        </w:rPr>
      </w:pPr>
    </w:p>
    <w:p>
      <w:pPr>
        <w:pStyle w:val="BodyText"/>
        <w:spacing w:before="8"/>
        <w:rPr>
          <w:sz w:val="19"/>
        </w:rPr>
      </w:pPr>
    </w:p>
    <w:p>
      <w:pPr>
        <w:pStyle w:val="Heading1"/>
        <w:ind w:right="277"/>
      </w:pPr>
      <w:r>
        <w:rPr/>
        <w:t>12.-APROVACIÓ PROVISIONAL MODIFICACIÓ ORDENANÇA FISCAL NÚMERO 23, REGULADORA DE LA TAXA DE LA LLAR D´INFANTS MUNICIPAL</w:t>
      </w:r>
    </w:p>
    <w:p>
      <w:pPr>
        <w:pStyle w:val="BodyText"/>
        <w:spacing w:before="2"/>
        <w:rPr>
          <w:b/>
        </w:rPr>
      </w:pPr>
    </w:p>
    <w:p>
      <w:pPr>
        <w:pStyle w:val="BodyText"/>
        <w:ind w:left="6500" w:right="269" w:firstLine="1541"/>
        <w:jc w:val="both"/>
      </w:pPr>
      <w:r>
        <w:rPr/>
        <w:t>Òrgan: Ple Caràcter: Sessió Ordinària Data: 20 de juliol de 2018</w:t>
      </w:r>
    </w:p>
    <w:p>
      <w:pPr>
        <w:pStyle w:val="BodyText"/>
        <w:spacing w:line="252" w:lineRule="exact"/>
        <w:ind w:left="4064"/>
      </w:pPr>
      <w:r>
        <w:rPr/>
        <w:t>Expedient núm. 1216-000005-2018 (X2018000786)</w:t>
      </w:r>
    </w:p>
    <w:p>
      <w:pPr>
        <w:pStyle w:val="BodyText"/>
        <w:spacing w:before="2"/>
        <w:ind w:left="6879"/>
      </w:pPr>
      <w:r>
        <w:rPr/>
        <w:t>Aprovat per unanimitat</w:t>
      </w:r>
    </w:p>
    <w:p>
      <w:pPr>
        <w:pStyle w:val="BodyText"/>
        <w:rPr>
          <w:sz w:val="24"/>
        </w:rPr>
      </w:pPr>
    </w:p>
    <w:p>
      <w:pPr>
        <w:pStyle w:val="BodyText"/>
        <w:spacing w:before="10"/>
        <w:rPr>
          <w:sz w:val="19"/>
        </w:rPr>
      </w:pPr>
    </w:p>
    <w:p>
      <w:pPr>
        <w:pStyle w:val="BodyText"/>
        <w:ind w:left="305" w:right="273"/>
        <w:jc w:val="both"/>
      </w:pPr>
      <w:r>
        <w:rPr/>
        <w:t>Vista la necessitat de modificar l´ordenança fiscal número 23, reguladora de la taxa de la llar d´infants municipal amb la finalitat de modificar les taxes estipulades a l´article 4 pel que fa referència als preus dels dinars diaris. Concretament es proposen les següents taxes pels dinars diaris pel curs 2018-2019:</w:t>
      </w:r>
    </w:p>
    <w:p>
      <w:pPr>
        <w:pStyle w:val="BodyText"/>
        <w:spacing w:before="1"/>
      </w:pPr>
    </w:p>
    <w:p>
      <w:pPr>
        <w:pStyle w:val="BodyText"/>
        <w:ind w:left="305"/>
        <w:jc w:val="both"/>
      </w:pPr>
      <w:r>
        <w:rPr/>
        <w:t>“ Dinar diari:</w:t>
      </w:r>
    </w:p>
    <w:p>
      <w:pPr>
        <w:pStyle w:val="BodyText"/>
      </w:pPr>
    </w:p>
    <w:p>
      <w:pPr>
        <w:pStyle w:val="BodyText"/>
        <w:tabs>
          <w:tab w:pos="3137" w:val="left" w:leader="none"/>
          <w:tab w:pos="6678" w:val="left" w:leader="none"/>
        </w:tabs>
        <w:ind w:left="1013" w:right="1156"/>
      </w:pPr>
      <w:r>
        <w:rPr/>
        <w:t>De 1 a 25</w:t>
      </w:r>
      <w:r>
        <w:rPr>
          <w:spacing w:val="-5"/>
        </w:rPr>
        <w:t> </w:t>
      </w:r>
      <w:r>
        <w:rPr/>
        <w:t>menús:</w:t>
        <w:tab/>
        <w:t>4,20€ + 0,17€ de</w:t>
      </w:r>
      <w:r>
        <w:rPr>
          <w:spacing w:val="-9"/>
        </w:rPr>
        <w:t> </w:t>
      </w:r>
      <w:r>
        <w:rPr/>
        <w:t>monitoratge</w:t>
      </w:r>
      <w:r>
        <w:rPr>
          <w:spacing w:val="56"/>
        </w:rPr>
        <w:t> </w:t>
      </w:r>
      <w:r>
        <w:rPr/>
        <w:t>=</w:t>
        <w:tab/>
        <w:t>4,37 €/nen/dia De 26 a</w:t>
      </w:r>
      <w:r>
        <w:rPr>
          <w:spacing w:val="-2"/>
        </w:rPr>
        <w:t> </w:t>
      </w:r>
      <w:r>
        <w:rPr/>
        <w:t>35</w:t>
      </w:r>
      <w:r>
        <w:rPr>
          <w:spacing w:val="-5"/>
        </w:rPr>
        <w:t> </w:t>
      </w:r>
      <w:r>
        <w:rPr/>
        <w:t>menús:</w:t>
        <w:tab/>
        <w:t>4,00€ + 0,27€ de</w:t>
      </w:r>
      <w:r>
        <w:rPr>
          <w:spacing w:val="-10"/>
        </w:rPr>
        <w:t> </w:t>
      </w:r>
      <w:r>
        <w:rPr/>
        <w:t>monitoratge</w:t>
      </w:r>
      <w:r>
        <w:rPr>
          <w:spacing w:val="-4"/>
        </w:rPr>
        <w:t> </w:t>
      </w:r>
      <w:r>
        <w:rPr/>
        <w:t>=</w:t>
        <w:tab/>
        <w:t>4,34 €/nen/dia De 36 a</w:t>
      </w:r>
      <w:r>
        <w:rPr>
          <w:spacing w:val="-2"/>
        </w:rPr>
        <w:t> </w:t>
      </w:r>
      <w:r>
        <w:rPr/>
        <w:t>50</w:t>
      </w:r>
      <w:r>
        <w:rPr>
          <w:spacing w:val="-5"/>
        </w:rPr>
        <w:t> </w:t>
      </w:r>
      <w:r>
        <w:rPr/>
        <w:t>menús:</w:t>
        <w:tab/>
        <w:t>3,86€ + 0,48€ de</w:t>
      </w:r>
      <w:r>
        <w:rPr>
          <w:spacing w:val="-9"/>
        </w:rPr>
        <w:t> </w:t>
      </w:r>
      <w:r>
        <w:rPr/>
        <w:t>monitoratge</w:t>
      </w:r>
      <w:r>
        <w:rPr>
          <w:spacing w:val="56"/>
        </w:rPr>
        <w:t> </w:t>
      </w:r>
      <w:r>
        <w:rPr/>
        <w:t>=</w:t>
        <w:tab/>
        <w:t>4,42 €/nen/dia</w:t>
      </w:r>
      <w:r>
        <w:rPr>
          <w:spacing w:val="-9"/>
        </w:rPr>
        <w:t> </w:t>
      </w:r>
      <w:r>
        <w:rPr/>
        <w:t>“</w:t>
      </w:r>
    </w:p>
    <w:p>
      <w:pPr>
        <w:pStyle w:val="BodyText"/>
        <w:spacing w:before="1"/>
      </w:pPr>
    </w:p>
    <w:p>
      <w:pPr>
        <w:pStyle w:val="BodyText"/>
        <w:ind w:left="305" w:right="268"/>
        <w:jc w:val="both"/>
      </w:pPr>
      <w:r>
        <w:rPr/>
        <w:t>Atès el que estableixen els articles 15 a 19 del Reial Decret Legislatiu 2/2004</w:t>
      </w:r>
      <w:r>
        <w:rPr>
          <w:i/>
        </w:rPr>
        <w:t>, </w:t>
      </w:r>
      <w:r>
        <w:rPr/>
        <w:t>de 5 de març, pel qual s’aprova el Text refós de la Llei reguladora de les Hisendes Locals.</w:t>
      </w:r>
    </w:p>
    <w:p>
      <w:pPr>
        <w:pStyle w:val="BodyText"/>
        <w:rPr>
          <w:sz w:val="24"/>
        </w:rPr>
      </w:pPr>
    </w:p>
    <w:p>
      <w:pPr>
        <w:pStyle w:val="BodyText"/>
        <w:spacing w:before="10"/>
        <w:rPr>
          <w:sz w:val="19"/>
        </w:rPr>
      </w:pPr>
    </w:p>
    <w:p>
      <w:pPr>
        <w:pStyle w:val="BodyText"/>
        <w:ind w:left="305"/>
        <w:jc w:val="both"/>
      </w:pPr>
      <w:r>
        <w:rPr/>
        <w:t>És pel que es proposa al Ple de l’Ajuntament l’adopció dels següents ACORDS:</w:t>
      </w:r>
    </w:p>
    <w:p>
      <w:pPr>
        <w:pStyle w:val="BodyText"/>
        <w:spacing w:before="1"/>
      </w:pPr>
    </w:p>
    <w:p>
      <w:pPr>
        <w:pStyle w:val="BodyText"/>
        <w:ind w:left="305" w:right="272"/>
        <w:jc w:val="both"/>
      </w:pPr>
      <w:r>
        <w:rPr/>
        <w:t>PRIMER.- APROVAR provisionalment la modificació de l´ ordenança fiscal número 23, reguladora de la taxa de la llar d´infants municipal, en els termes exposats a la part expositiva anterior.</w:t>
      </w:r>
    </w:p>
    <w:p>
      <w:pPr>
        <w:pStyle w:val="BodyText"/>
        <w:spacing w:before="1"/>
      </w:pPr>
    </w:p>
    <w:p>
      <w:pPr>
        <w:pStyle w:val="BodyText"/>
        <w:ind w:left="305" w:right="273"/>
        <w:jc w:val="both"/>
      </w:pPr>
      <w:r>
        <w:rPr/>
        <w:t>SEGON.- TRAMETRE el present acord als representants de l´AMPA de la Junta de l´Organisme Autònom de la Llar d´Infants El Molí Petit, per tal que si ho creuen oportú, puguin aportar tot el que creguin necessari durant el tràmit d´exposició pública.</w:t>
      </w:r>
    </w:p>
    <w:p>
      <w:pPr>
        <w:spacing w:after="0"/>
        <w:jc w:val="both"/>
        <w:sectPr>
          <w:headerReference w:type="default" r:id="rId41"/>
          <w:footerReference w:type="default" r:id="rId42"/>
          <w:pgSz w:w="11910" w:h="16840"/>
          <w:pgMar w:header="766" w:footer="0"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2056"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rPr>
          <w:sz w:val="20"/>
        </w:rPr>
      </w:pPr>
    </w:p>
    <w:p>
      <w:pPr>
        <w:pStyle w:val="BodyText"/>
        <w:spacing w:before="6"/>
        <w:rPr>
          <w:sz w:val="21"/>
        </w:rPr>
      </w:pPr>
    </w:p>
    <w:p>
      <w:pPr>
        <w:pStyle w:val="BodyText"/>
        <w:spacing w:before="94"/>
        <w:ind w:left="305" w:right="275"/>
        <w:jc w:val="both"/>
      </w:pPr>
      <w:r>
        <w:rPr/>
        <w:t>TERCER.- EXPOSAR l’expedient al públic mitjançant anunci publicat en el Butlletí Oficial de la Província, així com també en el tauler d’edictes de l’Ajuntament durant un termini de</w:t>
      </w:r>
    </w:p>
    <w:p>
      <w:pPr>
        <w:pStyle w:val="BodyText"/>
        <w:ind w:left="305" w:right="268"/>
        <w:jc w:val="both"/>
      </w:pPr>
      <w:r>
        <w:rPr/>
        <w:t>30 dies, per tal que tota persona interessada pugui examinar-lo i presentar les reclamacions i observacions que consideri oportunes. En cas de no presentar-se reclamacions durant aquest període d’exposició pública, els acords adoptats es consideraran definitivament aprovats i l´ordenança entrarà en vigor una vegada efectuada la seva publicació íntegra en el BOP.</w:t>
      </w:r>
    </w:p>
    <w:p>
      <w:pPr>
        <w:pStyle w:val="BodyText"/>
        <w:spacing w:before="2"/>
      </w:pPr>
    </w:p>
    <w:p>
      <w:pPr>
        <w:pStyle w:val="BodyText"/>
        <w:ind w:left="305" w:right="267"/>
        <w:jc w:val="both"/>
      </w:pPr>
      <w:r>
        <w:rPr/>
        <w:t>QUART.- PUBLICAR la proposta de modificació de l´esmentada ordenança fiscal en el portal web de l´Ajuntament de Sant Joan de les Abadesses (www.santjoandelesabadesses.cat) amb la finalitat de donar audiència als ciutadans afectats i recavar totes aquelles aportacions addicionals que puguin efectuar-se per altres persones o entitats.</w:t>
      </w:r>
    </w:p>
    <w:p>
      <w:pPr>
        <w:pStyle w:val="BodyText"/>
        <w:spacing w:before="8"/>
        <w:rPr>
          <w:sz w:val="21"/>
        </w:rPr>
      </w:pPr>
    </w:p>
    <w:p>
      <w:pPr>
        <w:pStyle w:val="Heading1"/>
        <w:ind w:right="278"/>
      </w:pPr>
      <w:r>
        <w:rPr/>
        <w:t>13.- APROVACIÓ ANUL.LACIÓ DRETS RECONEGUTS PENDENTS DE COBRAR D´EXERCICIS TANCATS I DE L´EXERCICI 2018</w:t>
      </w:r>
    </w:p>
    <w:p>
      <w:pPr>
        <w:pStyle w:val="BodyText"/>
        <w:spacing w:before="2"/>
        <w:rPr>
          <w:b/>
        </w:rPr>
      </w:pPr>
    </w:p>
    <w:p>
      <w:pPr>
        <w:pStyle w:val="BodyText"/>
        <w:ind w:left="6500" w:right="268" w:firstLine="1541"/>
        <w:jc w:val="right"/>
      </w:pPr>
      <w:r>
        <w:rPr/>
        <w:t>Òrgan: Ple</w:t>
      </w:r>
      <w:r>
        <w:rPr>
          <w:w w:val="100"/>
        </w:rPr>
        <w:t> </w:t>
      </w:r>
      <w:r>
        <w:rPr/>
        <w:t>Caràcter: Sessió Ordinària</w:t>
      </w:r>
      <w:r>
        <w:rPr>
          <w:w w:val="100"/>
        </w:rPr>
        <w:t> </w:t>
      </w:r>
      <w:r>
        <w:rPr/>
        <w:t>Data: 20 de julio de 2018</w:t>
      </w:r>
    </w:p>
    <w:p>
      <w:pPr>
        <w:pStyle w:val="BodyText"/>
        <w:spacing w:line="252" w:lineRule="exact"/>
        <w:ind w:left="4064"/>
      </w:pPr>
      <w:r>
        <w:rPr/>
        <w:t>Expedient núm. 2226-000002-2018 (X2018000777)</w:t>
      </w:r>
    </w:p>
    <w:p>
      <w:pPr>
        <w:pStyle w:val="BodyText"/>
        <w:spacing w:before="2"/>
        <w:ind w:left="4052" w:right="271" w:firstLine="2239"/>
        <w:jc w:val="right"/>
      </w:pPr>
      <w:r>
        <w:rPr/>
        <w:t>Aprovat per majoria absolita</w:t>
      </w:r>
      <w:r>
        <w:rPr>
          <w:w w:val="100"/>
        </w:rPr>
        <w:t> </w:t>
      </w:r>
      <w:r>
        <w:rPr/>
        <w:t>(7 vots postius del grup polític municipal de MES i 2</w:t>
      </w:r>
    </w:p>
    <w:p>
      <w:pPr>
        <w:pStyle w:val="BodyText"/>
        <w:spacing w:before="1"/>
        <w:ind w:right="273"/>
        <w:jc w:val="right"/>
      </w:pPr>
      <w:r>
        <w:rPr/>
        <w:t>abstencions del grup d´ERC)</w:t>
      </w:r>
    </w:p>
    <w:p>
      <w:pPr>
        <w:pStyle w:val="BodyText"/>
        <w:rPr>
          <w:sz w:val="24"/>
        </w:rPr>
      </w:pPr>
    </w:p>
    <w:p>
      <w:pPr>
        <w:pStyle w:val="BodyText"/>
        <w:spacing w:before="10"/>
        <w:rPr>
          <w:sz w:val="19"/>
        </w:rPr>
      </w:pPr>
    </w:p>
    <w:p>
      <w:pPr>
        <w:pStyle w:val="BodyText"/>
        <w:spacing w:before="1"/>
        <w:ind w:left="305"/>
        <w:jc w:val="both"/>
      </w:pPr>
      <w:r>
        <w:rPr/>
        <w:t>Vist l'informe emès per la intervenció d'aquest ajuntament i, que figura a l'expedient.</w:t>
      </w:r>
    </w:p>
    <w:p>
      <w:pPr>
        <w:pStyle w:val="BodyText"/>
      </w:pPr>
    </w:p>
    <w:p>
      <w:pPr>
        <w:pStyle w:val="BodyText"/>
        <w:ind w:left="305" w:right="268"/>
        <w:jc w:val="both"/>
      </w:pPr>
      <w:r>
        <w:rPr/>
        <w:t>Atès que en el mateix es proposa l'anul.lació de drets com a conseqüència d'haver-se detectat diferents errors materials, aritmètics i de fet i, també, per la necessitat de depurar, tot i el temps transcorregut, aquells drets reconeguts que per circumstàncies alienes a l’Ajuntament, encara figuren com a pendents, es considera ajustada a</w:t>
      </w:r>
      <w:r>
        <w:rPr>
          <w:spacing w:val="-25"/>
        </w:rPr>
        <w:t> </w:t>
      </w:r>
      <w:r>
        <w:rPr/>
        <w:t>dret.</w:t>
      </w:r>
    </w:p>
    <w:p>
      <w:pPr>
        <w:pStyle w:val="BodyText"/>
      </w:pPr>
    </w:p>
    <w:p>
      <w:pPr>
        <w:pStyle w:val="BodyText"/>
        <w:ind w:left="305" w:right="268"/>
        <w:jc w:val="both"/>
      </w:pPr>
      <w:r>
        <w:rPr/>
        <w:t>Atès els drets pendents de cobrar d'exercicis tancats i de l'exercici 2018 de l'Ajuntament que s'han d'anul.lar i que es relacionen a l'expedient, per un import total de 108.568,24 euros.</w:t>
      </w:r>
    </w:p>
    <w:p>
      <w:pPr>
        <w:pStyle w:val="BodyText"/>
        <w:rPr>
          <w:sz w:val="24"/>
        </w:rPr>
      </w:pPr>
    </w:p>
    <w:p>
      <w:pPr>
        <w:pStyle w:val="BodyText"/>
        <w:rPr>
          <w:sz w:val="20"/>
        </w:rPr>
      </w:pPr>
    </w:p>
    <w:p>
      <w:pPr>
        <w:pStyle w:val="BodyText"/>
        <w:ind w:left="305"/>
        <w:jc w:val="both"/>
      </w:pPr>
      <w:r>
        <w:rPr/>
        <w:t>És pel que es proposa al Plenari Municipal l'adopció dels següents ACORDS:</w:t>
      </w:r>
    </w:p>
    <w:p>
      <w:pPr>
        <w:pStyle w:val="BodyText"/>
        <w:spacing w:before="1"/>
      </w:pPr>
    </w:p>
    <w:p>
      <w:pPr>
        <w:pStyle w:val="BodyText"/>
        <w:ind w:left="305" w:right="276"/>
        <w:jc w:val="both"/>
      </w:pPr>
      <w:r>
        <w:rPr/>
        <w:t>PRIMER.- APROVAR l'anul.lació dels drets pendents de cobrar d'exercicis tancats i de l'exercici 2018 de l'Ajuntament per un import total de 108.568,24 euros.</w:t>
      </w:r>
    </w:p>
    <w:p>
      <w:pPr>
        <w:pStyle w:val="BodyText"/>
        <w:spacing w:before="11"/>
        <w:rPr>
          <w:sz w:val="21"/>
        </w:rPr>
      </w:pPr>
    </w:p>
    <w:p>
      <w:pPr>
        <w:pStyle w:val="BodyText"/>
        <w:ind w:left="305" w:right="275"/>
        <w:jc w:val="both"/>
      </w:pPr>
      <w:r>
        <w:rPr/>
        <w:t>SEGON.- COMUNICAR el present acord a l'àrea comptable d'aquest ajuntament, a fi i efectes oportuns.</w:t>
      </w:r>
    </w:p>
    <w:p>
      <w:pPr>
        <w:pStyle w:val="BodyText"/>
        <w:rPr>
          <w:sz w:val="24"/>
        </w:rPr>
      </w:pPr>
    </w:p>
    <w:p>
      <w:pPr>
        <w:pStyle w:val="BodyText"/>
        <w:spacing w:before="8"/>
        <w:rPr>
          <w:sz w:val="19"/>
        </w:rPr>
      </w:pPr>
    </w:p>
    <w:p>
      <w:pPr>
        <w:pStyle w:val="Heading1"/>
        <w:ind w:right="270"/>
      </w:pPr>
      <w:r>
        <w:rPr/>
        <w:t>14.- RATIFICACIÓ DECRET D’ALCALDIA NÚMERO 822 DE DATA 28/06/2018, D’APROVACIÓ DE LA SOL·LICITUD DE SUBVENCIONS A PROJECTES SINGULARS D’ENTITATS LOCALS QUE AFAVOREIXIN EL PAS A UNA ECONOMIA BAIXA EN CARBONI EN EL MARC DEL PROGRAMA OPERATIU FEDER DE CREIXEMENT SOSTENIBLE 2014-2020</w:t>
      </w:r>
    </w:p>
    <w:p>
      <w:pPr>
        <w:spacing w:after="0"/>
        <w:sectPr>
          <w:headerReference w:type="default" r:id="rId43"/>
          <w:footerReference w:type="default" r:id="rId44"/>
          <w:pgSz w:w="11910" w:h="16840"/>
          <w:pgMar w:header="766" w:footer="0" w:top="1920" w:bottom="280" w:left="1680" w:right="860"/>
        </w:sectPr>
      </w:pPr>
    </w:p>
    <w:p>
      <w:pPr>
        <w:pStyle w:val="BodyText"/>
        <w:rPr>
          <w:b/>
          <w:sz w:val="20"/>
        </w:rPr>
      </w:pPr>
      <w:r>
        <w:rPr/>
        <w:pict>
          <v:shape style="position:absolute;margin-left:46.0816pt;margin-top:295.227448pt;width:11pt;height:413.3pt;mso-position-horizontal-relative:page;mso-position-vertical-relative:page;z-index:2080"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b/>
          <w:sz w:val="19"/>
        </w:rPr>
      </w:pPr>
    </w:p>
    <w:p>
      <w:pPr>
        <w:pStyle w:val="BodyText"/>
        <w:spacing w:before="94"/>
        <w:ind w:left="6500" w:right="268" w:firstLine="1541"/>
        <w:jc w:val="right"/>
      </w:pPr>
      <w:r>
        <w:rPr/>
        <w:t>Òrgan: Ple</w:t>
      </w:r>
      <w:r>
        <w:rPr>
          <w:w w:val="100"/>
        </w:rPr>
        <w:t> </w:t>
      </w:r>
      <w:r>
        <w:rPr/>
        <w:t>Caràcter: Sessió Ordinària</w:t>
      </w:r>
      <w:r>
        <w:rPr>
          <w:w w:val="100"/>
        </w:rPr>
        <w:t> </w:t>
      </w:r>
      <w:r>
        <w:rPr/>
        <w:t>Data: 20 de julio de 2018</w:t>
      </w:r>
    </w:p>
    <w:p>
      <w:pPr>
        <w:pStyle w:val="BodyText"/>
        <w:spacing w:line="252" w:lineRule="exact"/>
        <w:ind w:left="4076"/>
      </w:pPr>
      <w:r>
        <w:rPr/>
        <w:t>Expedient núm. X2017000778 - 2240-000008-2017</w:t>
      </w:r>
    </w:p>
    <w:p>
      <w:pPr>
        <w:pStyle w:val="BodyText"/>
        <w:ind w:left="4052" w:right="271" w:firstLine="2239"/>
        <w:jc w:val="right"/>
      </w:pPr>
      <w:r>
        <w:rPr/>
        <w:t>Aprovat per majoria absolita</w:t>
      </w:r>
      <w:r>
        <w:rPr>
          <w:w w:val="100"/>
        </w:rPr>
        <w:t> </w:t>
      </w:r>
      <w:r>
        <w:rPr/>
        <w:t>(7 vots postius del grup polític municipal de MES i 2</w:t>
      </w:r>
    </w:p>
    <w:p>
      <w:pPr>
        <w:pStyle w:val="BodyText"/>
        <w:ind w:right="272"/>
        <w:jc w:val="right"/>
      </w:pPr>
      <w:r>
        <w:rPr/>
        <w:t>abstencions del grup d´ERC)</w:t>
      </w:r>
    </w:p>
    <w:p>
      <w:pPr>
        <w:pStyle w:val="BodyText"/>
        <w:rPr>
          <w:sz w:val="24"/>
        </w:rPr>
      </w:pPr>
    </w:p>
    <w:p>
      <w:pPr>
        <w:pStyle w:val="BodyText"/>
        <w:spacing w:before="2"/>
        <w:rPr>
          <w:sz w:val="20"/>
        </w:rPr>
      </w:pPr>
    </w:p>
    <w:p>
      <w:pPr>
        <w:pStyle w:val="BodyText"/>
        <w:ind w:left="305" w:right="268"/>
        <w:jc w:val="both"/>
      </w:pPr>
      <w:r>
        <w:rPr/>
        <w:t>Vist el decret número 822 de data 28/06/2018 mitjançant el qual s’aprova la sol·licitud de subvencions a projectes singulars d’entitats locals que afavoreixin el pas a una economia baixa en carboni en el marc del Programa operatiu FEDER de creixement sostenible 2014-2020, el qual es transcriu literalment a continuació:</w:t>
      </w:r>
    </w:p>
    <w:p>
      <w:pPr>
        <w:pStyle w:val="BodyText"/>
      </w:pPr>
    </w:p>
    <w:p>
      <w:pPr>
        <w:pStyle w:val="BodyText"/>
        <w:ind w:left="305" w:right="274"/>
        <w:jc w:val="both"/>
      </w:pPr>
      <w:r>
        <w:rPr/>
        <w:t>“Visto el Real Decreto 616/2917, de 16 de junio, por el que se regula la concesión directa de subvenciones a proyectos singulares de entidades locales que favorezcan el paso a una economía baja en carbono en el marco del Programa operativo FEDER de crecimiento sostenible 2014-2020, publicado en el BOE número 144, de fecha 17 de junio de 2017.</w:t>
      </w:r>
    </w:p>
    <w:p>
      <w:pPr>
        <w:pStyle w:val="BodyText"/>
        <w:spacing w:before="11"/>
        <w:rPr>
          <w:sz w:val="21"/>
        </w:rPr>
      </w:pPr>
    </w:p>
    <w:p>
      <w:pPr>
        <w:pStyle w:val="BodyText"/>
        <w:ind w:left="305" w:right="271"/>
        <w:jc w:val="both"/>
      </w:pPr>
      <w:r>
        <w:rPr/>
        <w:t>Vista la voluntad de solicitar una subvención para llevar a cabo acciones de renovación de las instalaciones del alumbrado público del Ayuntamiento de Sant Joan de les Abadesses (Gerona), según memoria descriptiva del proyecto singular redactada por Beenergi, con un presupuesto total de 443.830,92 euros (IVA incluido), en el marco de dicha</w:t>
      </w:r>
      <w:r>
        <w:rPr>
          <w:spacing w:val="-1"/>
        </w:rPr>
        <w:t> </w:t>
      </w:r>
      <w:r>
        <w:rPr/>
        <w:t>subvención.</w:t>
      </w:r>
    </w:p>
    <w:p>
      <w:pPr>
        <w:pStyle w:val="BodyText"/>
        <w:spacing w:before="10"/>
        <w:rPr>
          <w:sz w:val="21"/>
        </w:rPr>
      </w:pPr>
    </w:p>
    <w:p>
      <w:pPr>
        <w:pStyle w:val="BodyText"/>
        <w:spacing w:before="1"/>
        <w:ind w:left="305" w:right="268"/>
        <w:jc w:val="both"/>
      </w:pPr>
      <w:r>
        <w:rPr/>
        <w:t>Vista la necesidad de contestar el requerimiento recibido por parte del Instituto para la Diversificación y Ahorro de la Energía (IDAE), en fecha 21 de junio de 2018, en un plazo máximo de 15 días naturales y que no está prevista la celebración de ningún Pleno Municipal hasta el 27 de julio de 2018.</w:t>
      </w:r>
    </w:p>
    <w:p>
      <w:pPr>
        <w:pStyle w:val="BodyText"/>
        <w:spacing w:before="11"/>
        <w:rPr>
          <w:sz w:val="21"/>
        </w:rPr>
      </w:pPr>
    </w:p>
    <w:p>
      <w:pPr>
        <w:pStyle w:val="BodyText"/>
        <w:ind w:left="305"/>
        <w:jc w:val="both"/>
      </w:pPr>
      <w:r>
        <w:rPr/>
        <w:t>HE RESUELTO:</w:t>
      </w:r>
    </w:p>
    <w:p>
      <w:pPr>
        <w:pStyle w:val="BodyText"/>
      </w:pPr>
    </w:p>
    <w:p>
      <w:pPr>
        <w:pStyle w:val="BodyText"/>
        <w:ind w:left="305" w:right="273"/>
        <w:jc w:val="both"/>
      </w:pPr>
      <w:r>
        <w:rPr/>
        <w:t>PRIMERO.- APROBAR la solicitud de subvención a efectuar al Instituto para la Diversificación y Ahorro de la Energia (IDAE) en el marco de la convocatoria de subvenciones a proyectos singulares de entidades locales que favorezcan el paso a una economía baja en carbono en el marco del Programa operativo FEDER de crecimiento sostenible 2014-2020, publicado en el BOE número 144, de fecha 17 de junio de 2017, con el proyecto de Acciones de renovación de las instalaciones del alumbrado público del Ayuntamiento de Sant Joan de les Abadesses (Gerona), según memoria descriptiva redactada por Beenergi, con un presupuesto total de 443.830,92 euros (IVA incluido).</w:t>
      </w:r>
    </w:p>
    <w:p>
      <w:pPr>
        <w:pStyle w:val="BodyText"/>
        <w:spacing w:before="2"/>
      </w:pPr>
    </w:p>
    <w:p>
      <w:pPr>
        <w:pStyle w:val="BodyText"/>
        <w:ind w:left="305" w:right="272"/>
        <w:jc w:val="both"/>
      </w:pPr>
      <w:r>
        <w:rPr/>
        <w:t>SEGUNDO.- APROBAR la memoria descriptiva del proyecto singular redactada por Beenergi, por encargo de este Ayuntamiento, para la realización de Acciones de renovación de las instalaciones del alumbrado público del Ayuntamiento de Sant Joan de les Abadesses (Gerona), con un presupuesto total de 443.830,92 euros (IVA incluido), el cual contiene la descripción de las actuaciones a realizar y forma el proyecto singular a presentar en la presente convocatoria de subvención. Se adjunta como anexo al presente acuerdo.</w:t>
      </w:r>
    </w:p>
    <w:p>
      <w:pPr>
        <w:pStyle w:val="BodyText"/>
        <w:spacing w:before="11"/>
        <w:rPr>
          <w:sz w:val="21"/>
        </w:rPr>
      </w:pPr>
    </w:p>
    <w:p>
      <w:pPr>
        <w:pStyle w:val="BodyText"/>
        <w:ind w:left="305" w:right="272"/>
        <w:jc w:val="both"/>
      </w:pPr>
      <w:r>
        <w:rPr/>
        <w:t>TERCERO.- APROBAR la participación y aceptación expresa del procedimiento regulado en el Real Decreto 616/2917, de 16 de junio, por el que se regula la concesión directa de subvenciones a proyectos singulares de entidades locales que favorezcan el paso a una</w:t>
      </w:r>
    </w:p>
    <w:p>
      <w:pPr>
        <w:spacing w:after="0"/>
        <w:jc w:val="both"/>
        <w:sectPr>
          <w:headerReference w:type="default" r:id="rId45"/>
          <w:footerReference w:type="default" r:id="rId46"/>
          <w:pgSz w:w="11910" w:h="16840"/>
          <w:pgMar w:header="766" w:footer="0"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2104"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sz w:val="19"/>
        </w:rPr>
      </w:pPr>
    </w:p>
    <w:p>
      <w:pPr>
        <w:pStyle w:val="BodyText"/>
        <w:spacing w:before="94"/>
        <w:ind w:left="305" w:right="273"/>
        <w:jc w:val="both"/>
      </w:pPr>
      <w:r>
        <w:rPr/>
        <w:t>economía baja en carbono en el marco del Programa operativo FEDER de crecimiento sostenible 2014-2020, publicado en el BOE número 144, de fecha 17 de junio de 2017.</w:t>
      </w:r>
    </w:p>
    <w:p>
      <w:pPr>
        <w:pStyle w:val="BodyText"/>
        <w:spacing w:before="11"/>
        <w:rPr>
          <w:sz w:val="21"/>
        </w:rPr>
      </w:pPr>
    </w:p>
    <w:p>
      <w:pPr>
        <w:pStyle w:val="BodyText"/>
        <w:ind w:left="305" w:right="271"/>
        <w:jc w:val="both"/>
      </w:pPr>
      <w:r>
        <w:rPr/>
        <w:t>QUARTO.- IMPUTAR las gastos correspondientes a las actuaciones que contempla el proyecto de Acciones de renovación de las instalaciones del alumbrado público del Ayuntamiento de Sant Joan de les Abadesses (Gerona), según memoria descriptiva redactada por Beenergi, con un presupuesto total de 443.830,92 euros (IVA incluido) a la partida presupuestaria número 01.165.61907 del presupuesto de este Ayuntamiento correspondiente al ejercicio económico de 2017.</w:t>
      </w:r>
    </w:p>
    <w:p>
      <w:pPr>
        <w:pStyle w:val="BodyText"/>
        <w:spacing w:before="1"/>
      </w:pPr>
    </w:p>
    <w:p>
      <w:pPr>
        <w:pStyle w:val="BodyText"/>
        <w:ind w:left="305" w:right="274"/>
        <w:jc w:val="both"/>
      </w:pPr>
      <w:r>
        <w:rPr/>
        <w:t>QUINTO.- CONDICIONAR la realización del gasto contemplado en el apartado anterior a la obtención de la subvención solicitada al IDAE en el marco de la convocatoria de subvenciones referenciada en el punto anterior.</w:t>
      </w:r>
    </w:p>
    <w:p>
      <w:pPr>
        <w:pStyle w:val="BodyText"/>
        <w:spacing w:before="1"/>
      </w:pPr>
    </w:p>
    <w:p>
      <w:pPr>
        <w:pStyle w:val="BodyText"/>
        <w:ind w:left="305" w:right="272"/>
        <w:jc w:val="both"/>
      </w:pPr>
      <w:r>
        <w:rPr/>
        <w:t>SEXTO.- FACULTAR al alcalde-presidente, Sr. Ramon Roqué i Riu, tan ampliamente como en derecho fuera menester para la signatura de todos los documentos necesarios para la efectividad del presente acuerdo.</w:t>
      </w:r>
    </w:p>
    <w:p>
      <w:pPr>
        <w:pStyle w:val="BodyText"/>
        <w:spacing w:before="10"/>
        <w:rPr>
          <w:sz w:val="21"/>
        </w:rPr>
      </w:pPr>
    </w:p>
    <w:p>
      <w:pPr>
        <w:pStyle w:val="BodyText"/>
        <w:ind w:left="305" w:right="276"/>
        <w:jc w:val="both"/>
      </w:pPr>
      <w:r>
        <w:rPr/>
        <w:t>SÉPTIMO.- COMUNICAR la presente resolución a las partes interesadas a fin y efectos oportunos.</w:t>
      </w:r>
    </w:p>
    <w:p>
      <w:pPr>
        <w:pStyle w:val="BodyText"/>
        <w:spacing w:before="11"/>
        <w:rPr>
          <w:sz w:val="21"/>
        </w:rPr>
      </w:pPr>
    </w:p>
    <w:p>
      <w:pPr>
        <w:pStyle w:val="BodyText"/>
        <w:spacing w:line="480" w:lineRule="auto"/>
        <w:ind w:left="305" w:right="1475"/>
      </w:pPr>
      <w:r>
        <w:rPr/>
        <w:t>OCTAVO.- RATIFICAR el presente acuerdo en el próximo Pleno Municipal. És pel que es proposa al Plenari Municipal l’adopció dels següents ACORDS:</w:t>
      </w:r>
    </w:p>
    <w:p>
      <w:pPr>
        <w:pStyle w:val="BodyText"/>
        <w:spacing w:before="1"/>
        <w:ind w:left="305" w:right="275"/>
        <w:jc w:val="both"/>
      </w:pPr>
      <w:r>
        <w:rPr/>
        <w:t>PRIMER.- RATIFICAR el decret número 822 de data 28/06/2018, referent a la sol·licitud de subvencions a projectes singulars d’entitats locals que afavoreixin el pas a una economia baixa en carboni en el marc del Programa operatiu FEDER de creixement sostenible 2014-2020.</w:t>
      </w:r>
    </w:p>
    <w:p>
      <w:pPr>
        <w:pStyle w:val="BodyText"/>
      </w:pPr>
    </w:p>
    <w:p>
      <w:pPr>
        <w:pStyle w:val="BodyText"/>
        <w:ind w:left="305" w:right="268"/>
        <w:jc w:val="both"/>
      </w:pPr>
      <w:r>
        <w:rPr/>
        <w:t>SEGON.- APROVAR sol·licitar una subvenció per a portar a terme accions de renovació de les instal·lacions d’enllumenat públic de l’Ajuntament de Sant Joan de les Abadesses, segons la memoria descriptiva del projecte singular redactat per Beenergi, amb un pressupost total de 443.830,92 euros (IVA inclòs), en el marc de l’esmentada subvenció.</w:t>
      </w:r>
    </w:p>
    <w:p>
      <w:pPr>
        <w:pStyle w:val="BodyText"/>
      </w:pPr>
    </w:p>
    <w:p>
      <w:pPr>
        <w:pStyle w:val="BodyText"/>
        <w:ind w:left="305"/>
        <w:jc w:val="both"/>
      </w:pPr>
      <w:r>
        <w:rPr/>
        <w:t>TERCER.- COMUNICAR el present acord a les parts interessades a fi i efectes oportuns.</w:t>
      </w:r>
    </w:p>
    <w:p>
      <w:pPr>
        <w:pStyle w:val="BodyText"/>
        <w:rPr>
          <w:sz w:val="24"/>
        </w:rPr>
      </w:pPr>
    </w:p>
    <w:p>
      <w:pPr>
        <w:pStyle w:val="BodyText"/>
        <w:spacing w:before="9"/>
        <w:rPr>
          <w:sz w:val="19"/>
        </w:rPr>
      </w:pPr>
    </w:p>
    <w:p>
      <w:pPr>
        <w:pStyle w:val="Heading1"/>
        <w:ind w:right="274"/>
      </w:pPr>
      <w:r>
        <w:rPr/>
        <w:t>15.-DELEGACIÓ D´ATRIBUACIONS DEL PLE A L´ALCALDE EN RELACIÓ A LA VALIDACIÓ DE L´INFORME DE MOTIVACIÓ DE LA NECESSITAT DE CONTRACTACIÓ</w:t>
      </w:r>
    </w:p>
    <w:p>
      <w:pPr>
        <w:pStyle w:val="BodyText"/>
        <w:spacing w:before="3"/>
        <w:rPr>
          <w:b/>
        </w:rPr>
      </w:pPr>
    </w:p>
    <w:p>
      <w:pPr>
        <w:pStyle w:val="BodyText"/>
        <w:ind w:left="6500" w:right="268" w:firstLine="1541"/>
        <w:jc w:val="right"/>
      </w:pPr>
      <w:r>
        <w:rPr/>
        <w:t>Òrgan: Ple</w:t>
      </w:r>
      <w:r>
        <w:rPr>
          <w:w w:val="100"/>
        </w:rPr>
        <w:t> </w:t>
      </w:r>
      <w:r>
        <w:rPr/>
        <w:t>Caràcter: Sessió Ordinària</w:t>
      </w:r>
      <w:r>
        <w:rPr>
          <w:w w:val="100"/>
        </w:rPr>
        <w:t> </w:t>
      </w:r>
      <w:r>
        <w:rPr/>
        <w:t>Data: 20 de julio de 2018</w:t>
      </w:r>
    </w:p>
    <w:p>
      <w:pPr>
        <w:pStyle w:val="BodyText"/>
        <w:spacing w:line="252" w:lineRule="exact"/>
        <w:ind w:left="4064"/>
      </w:pPr>
      <w:r>
        <w:rPr/>
        <w:t>Expedient núm. 1014-000001-2018 (X2018000837)</w:t>
      </w:r>
    </w:p>
    <w:p>
      <w:pPr>
        <w:pStyle w:val="BodyText"/>
        <w:spacing w:before="2"/>
        <w:ind w:left="4052" w:right="271" w:firstLine="2239"/>
        <w:jc w:val="right"/>
      </w:pPr>
      <w:r>
        <w:rPr/>
        <w:t>Aprovat per majoria absolita</w:t>
      </w:r>
      <w:r>
        <w:rPr>
          <w:w w:val="100"/>
        </w:rPr>
        <w:t> </w:t>
      </w:r>
      <w:r>
        <w:rPr/>
        <w:t>(7 vots postius del grup polític municipal de MES i 2</w:t>
      </w:r>
    </w:p>
    <w:p>
      <w:pPr>
        <w:pStyle w:val="BodyText"/>
        <w:spacing w:line="251" w:lineRule="exact"/>
        <w:ind w:right="273"/>
        <w:jc w:val="right"/>
      </w:pPr>
      <w:r>
        <w:rPr/>
        <w:t>abstencions del grup d´ERC)</w:t>
      </w:r>
    </w:p>
    <w:p>
      <w:pPr>
        <w:pStyle w:val="BodyText"/>
        <w:rPr>
          <w:sz w:val="24"/>
        </w:rPr>
      </w:pPr>
    </w:p>
    <w:p>
      <w:pPr>
        <w:pStyle w:val="BodyText"/>
        <w:spacing w:before="1"/>
        <w:rPr>
          <w:sz w:val="20"/>
        </w:rPr>
      </w:pPr>
    </w:p>
    <w:p>
      <w:pPr>
        <w:pStyle w:val="BodyText"/>
        <w:spacing w:before="1"/>
        <w:ind w:left="305" w:right="272"/>
        <w:jc w:val="both"/>
      </w:pPr>
      <w:r>
        <w:rPr/>
        <w:t>Atès que l’article 116 de la Llei 9/2017, de 8 de novembre, de contractes del sector públic (LCSP), estableix que la celebració dels contractes per part de les administracions públiques requerirà la prèvia tramitació del corresponent expedient, que s’iniciarà per part</w:t>
      </w:r>
    </w:p>
    <w:p>
      <w:pPr>
        <w:spacing w:after="0"/>
        <w:jc w:val="both"/>
        <w:sectPr>
          <w:headerReference w:type="default" r:id="rId47"/>
          <w:footerReference w:type="default" r:id="rId48"/>
          <w:pgSz w:w="11910" w:h="16840"/>
          <w:pgMar w:header="766" w:footer="0" w:top="1920" w:bottom="280" w:left="1680" w:right="860"/>
        </w:sectPr>
      </w:pPr>
    </w:p>
    <w:p>
      <w:pPr>
        <w:pStyle w:val="BodyText"/>
        <w:rPr>
          <w:sz w:val="20"/>
        </w:rPr>
      </w:pPr>
      <w:r>
        <w:rPr/>
        <w:pict>
          <v:shape style="position:absolute;margin-left:46.0816pt;margin-top:295.227448pt;width:11pt;height:413.3pt;mso-position-horizontal-relative:page;mso-position-vertical-relative:page;z-index:2128"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sz w:val="19"/>
        </w:rPr>
      </w:pPr>
    </w:p>
    <w:p>
      <w:pPr>
        <w:pStyle w:val="BodyText"/>
        <w:spacing w:before="94"/>
        <w:ind w:left="305" w:right="275"/>
        <w:jc w:val="both"/>
      </w:pPr>
      <w:r>
        <w:rPr/>
        <w:t>de l’òrgan de contractació, en el qual es motivarà la necessitat del contracte en els termes previstos a l’article de l’esmentada Llei.</w:t>
      </w:r>
    </w:p>
    <w:p>
      <w:pPr>
        <w:pStyle w:val="BodyText"/>
        <w:spacing w:before="11"/>
        <w:rPr>
          <w:sz w:val="21"/>
        </w:rPr>
      </w:pPr>
    </w:p>
    <w:p>
      <w:pPr>
        <w:pStyle w:val="BodyText"/>
        <w:ind w:left="305" w:right="268"/>
        <w:jc w:val="both"/>
      </w:pPr>
      <w:r>
        <w:rPr/>
        <w:t>Atès que la disposició addicional segona de la Llei 9/2017, en regular les competències de les entitats locals en matèria de contractació, estableix en el seu epígraf 1</w:t>
      </w:r>
      <w:r>
        <w:rPr>
          <w:spacing w:val="-30"/>
        </w:rPr>
        <w:t> </w:t>
      </w:r>
      <w:r>
        <w:rPr/>
        <w:t>que:</w:t>
      </w:r>
    </w:p>
    <w:p>
      <w:pPr>
        <w:pStyle w:val="BodyText"/>
        <w:spacing w:before="11"/>
        <w:rPr>
          <w:sz w:val="21"/>
        </w:rPr>
      </w:pPr>
    </w:p>
    <w:p>
      <w:pPr>
        <w:pStyle w:val="BodyText"/>
        <w:ind w:left="305" w:right="269"/>
        <w:jc w:val="both"/>
      </w:pPr>
      <w:r>
        <w:rPr/>
        <w:t>“Correspon als Alcaldes i als Presidents de les Entitats Locals les competències com òrgan de contractació respecte dels contractes d’obres, de subministrament, de serveis, els contractes de concessió d’obres, els contractes de concessió de serveis, i els contractes administratius especials, quan el seu valor estimat no superi el 10 % dels recursos ordinaris del pressupost ni, en qualsevol cas, la quantia de sis milions d’euros, inclosos els de caràcter plurianual quan la seva duració no sigui superior a 4 anys, eventuals pròrrogues incloses sempre que l’import acumulat de totes les seves anualitats no superi ni el percentatge indicat, referit als recursos ordinaris del pressupost del primer exercici, ni la quantia assenyalada”.</w:t>
      </w:r>
    </w:p>
    <w:p>
      <w:pPr>
        <w:pStyle w:val="BodyText"/>
      </w:pPr>
    </w:p>
    <w:p>
      <w:pPr>
        <w:pStyle w:val="BodyText"/>
        <w:ind w:left="305"/>
        <w:jc w:val="both"/>
      </w:pPr>
      <w:r>
        <w:rPr/>
        <w:t>Atès que segons la disposició addicional segona, paràgraf segon:</w:t>
      </w:r>
    </w:p>
    <w:p>
      <w:pPr>
        <w:pStyle w:val="BodyText"/>
        <w:spacing w:before="1"/>
      </w:pPr>
    </w:p>
    <w:p>
      <w:pPr>
        <w:pStyle w:val="BodyText"/>
        <w:ind w:left="305" w:right="274" w:firstLine="59"/>
        <w:jc w:val="both"/>
      </w:pPr>
      <w:r>
        <w:rPr/>
        <w:t>“Corresponen al Ple les competències com òrgan de contractació respecte dels contractes mencionats en l’apartat anterior que celebri l’Entitat Local, quan pel seu valor o duració no corresponguin a l’Alcalde o President de l’Entitat Local”.</w:t>
      </w:r>
    </w:p>
    <w:p>
      <w:pPr>
        <w:pStyle w:val="BodyText"/>
        <w:spacing w:before="1"/>
      </w:pPr>
    </w:p>
    <w:p>
      <w:pPr>
        <w:pStyle w:val="BodyText"/>
        <w:ind w:left="305" w:right="272"/>
        <w:jc w:val="both"/>
      </w:pPr>
      <w:r>
        <w:rPr/>
        <w:t>Atès que pel que fa a la competència del Ple en matèria de contractació, en relació amb els tipus de contractes, valor estimat i temps de durada, assenyalats a la disposició addicional segona de la LCSP, es constata la conveniència de procedir a la delegació per part del ple d’aquesta competència a favor de l’Alcalde.</w:t>
      </w:r>
    </w:p>
    <w:p>
      <w:pPr>
        <w:pStyle w:val="BodyText"/>
      </w:pPr>
    </w:p>
    <w:p>
      <w:pPr>
        <w:pStyle w:val="BodyText"/>
        <w:ind w:left="305" w:right="274"/>
        <w:jc w:val="both"/>
      </w:pPr>
      <w:r>
        <w:rPr/>
        <w:t>Atès que la competència del Ple en matèria de contractació és una competència delegable, segons l’article 22.4 de la Llei 7/1985, de 2 d’abril, en matèria de règim local.</w:t>
      </w:r>
    </w:p>
    <w:p>
      <w:pPr>
        <w:pStyle w:val="BodyText"/>
        <w:spacing w:before="11"/>
        <w:rPr>
          <w:sz w:val="21"/>
        </w:rPr>
      </w:pPr>
    </w:p>
    <w:p>
      <w:pPr>
        <w:pStyle w:val="BodyText"/>
        <w:ind w:left="305" w:right="272"/>
        <w:jc w:val="both"/>
      </w:pPr>
      <w:r>
        <w:rPr/>
        <w:t>Atès que la delegació proposada assoleix els requisits que, en matèria de delegació de competències, es regulen a l’article 9 de la Llei 40/2015, d’1 d’octubre, del règim jurídic del sector públic i l’article 8 de la Llei 26/2010, del 3 d’agost de règim jurídic i de procediment de les administracions públiques de</w:t>
      </w:r>
      <w:r>
        <w:rPr>
          <w:spacing w:val="-7"/>
        </w:rPr>
        <w:t> </w:t>
      </w:r>
      <w:r>
        <w:rPr/>
        <w:t>Catalunya.</w:t>
      </w:r>
    </w:p>
    <w:p>
      <w:pPr>
        <w:pStyle w:val="BodyText"/>
        <w:rPr>
          <w:sz w:val="24"/>
        </w:rPr>
      </w:pPr>
    </w:p>
    <w:p>
      <w:pPr>
        <w:pStyle w:val="BodyText"/>
        <w:spacing w:before="2"/>
        <w:rPr>
          <w:sz w:val="20"/>
        </w:rPr>
      </w:pPr>
    </w:p>
    <w:p>
      <w:pPr>
        <w:pStyle w:val="BodyText"/>
        <w:ind w:left="305"/>
        <w:jc w:val="both"/>
      </w:pPr>
      <w:r>
        <w:rPr/>
        <w:t>És pel que es proposa al Plenari Municipal l´adopció dels següents ACORDS:</w:t>
      </w:r>
    </w:p>
    <w:p>
      <w:pPr>
        <w:pStyle w:val="BodyText"/>
        <w:spacing w:before="9"/>
        <w:rPr>
          <w:sz w:val="21"/>
        </w:rPr>
      </w:pPr>
    </w:p>
    <w:p>
      <w:pPr>
        <w:pStyle w:val="BodyText"/>
        <w:ind w:left="305" w:right="274"/>
        <w:jc w:val="both"/>
      </w:pPr>
      <w:r>
        <w:rPr/>
        <w:t>PRIMER.- DELEGAR a favor de l’Alcalde-President de l’Ajuntament de Sant Joan de les Abadesses les competències que el Ple té atribuïdes com a òrgan de contractació, segons el que preveu l’epígraf segon de la disposició addicional de la Llei 9/2017, de 8 de novembre, de contractes del sector públic, en relació únicament a la validació de l’informe de la motivació de la necessitat de contractació previst a l’article 116.1 de la Llei 9/2017, en relació amb l’article 28 de la mateixa</w:t>
      </w:r>
      <w:r>
        <w:rPr>
          <w:spacing w:val="-5"/>
        </w:rPr>
        <w:t> </w:t>
      </w:r>
      <w:r>
        <w:rPr/>
        <w:t>llei.</w:t>
      </w:r>
    </w:p>
    <w:p>
      <w:pPr>
        <w:pStyle w:val="BodyText"/>
        <w:spacing w:before="1"/>
      </w:pPr>
    </w:p>
    <w:p>
      <w:pPr>
        <w:pStyle w:val="BodyText"/>
        <w:ind w:left="305" w:right="274"/>
        <w:jc w:val="both"/>
      </w:pPr>
      <w:r>
        <w:rPr/>
        <w:t>SEGON.- PUBLICAR aquest acord al Butlletí Oficial de la Província de Girona i a la seu electrònica de l’Ajuntament de Sant Joan de les Abadesses.</w:t>
      </w:r>
    </w:p>
    <w:p>
      <w:pPr>
        <w:pStyle w:val="BodyText"/>
        <w:spacing w:before="11"/>
        <w:rPr>
          <w:sz w:val="21"/>
        </w:rPr>
      </w:pPr>
    </w:p>
    <w:p>
      <w:pPr>
        <w:pStyle w:val="BodyText"/>
        <w:ind w:left="305" w:right="274"/>
        <w:jc w:val="both"/>
      </w:pPr>
      <w:r>
        <w:rPr/>
        <w:t>TERCER.- Facultar a l’Alcalde per a la realització d’aquelles actuacions i la signatura de documents necessaris per a l’execució d’aquest acord.</w:t>
      </w:r>
    </w:p>
    <w:p>
      <w:pPr>
        <w:pStyle w:val="BodyText"/>
        <w:spacing w:before="11"/>
        <w:rPr>
          <w:sz w:val="21"/>
        </w:rPr>
      </w:pPr>
    </w:p>
    <w:p>
      <w:pPr>
        <w:pStyle w:val="Heading1"/>
      </w:pPr>
      <w:r>
        <w:rPr/>
        <w:t>16.-DONAR COMPTE DELS DECRETS D'ALCALDIA</w:t>
      </w:r>
    </w:p>
    <w:p>
      <w:pPr>
        <w:spacing w:after="0"/>
        <w:sectPr>
          <w:headerReference w:type="default" r:id="rId49"/>
          <w:footerReference w:type="default" r:id="rId50"/>
          <w:pgSz w:w="11910" w:h="16840"/>
          <w:pgMar w:header="766" w:footer="0" w:top="1920" w:bottom="280" w:left="1680" w:right="860"/>
        </w:sectPr>
      </w:pPr>
    </w:p>
    <w:p>
      <w:pPr>
        <w:pStyle w:val="BodyText"/>
        <w:rPr>
          <w:b/>
          <w:sz w:val="20"/>
        </w:rPr>
      </w:pPr>
      <w:r>
        <w:rPr/>
        <w:pict>
          <v:shape style="position:absolute;margin-left:46.0816pt;margin-top:295.227448pt;width:11pt;height:413.3pt;mso-position-horizontal-relative:page;mso-position-vertical-relative:page;z-index:2152" type="#_x0000_t202" filled="false" stroked="false">
            <v:textbox inset="0,0,0,0" style="layout-flow:vertical;mso-layout-flow-alt:bottom-to-top">
              <w:txbxContent>
                <w:p>
                  <w:pPr>
                    <w:spacing w:before="15"/>
                    <w:ind w:left="20" w:right="0" w:firstLine="0"/>
                    <w:jc w:val="left"/>
                    <w:rPr>
                      <w:sz w:val="16"/>
                    </w:rPr>
                  </w:pPr>
                  <w:r>
                    <w:rPr>
                      <w:sz w:val="16"/>
                    </w:rPr>
                    <w:t>Ajuntament de la Baronal Vila de Sant Joan de les Abadesses | PlaçaMajor, 3 – Tel. 972 720 100 | NIF: P1717700G</w:t>
                  </w:r>
                </w:p>
              </w:txbxContent>
            </v:textbox>
            <w10:wrap type="none"/>
          </v:shape>
        </w:pict>
      </w:r>
    </w:p>
    <w:p>
      <w:pPr>
        <w:pStyle w:val="BodyText"/>
        <w:spacing w:before="7"/>
        <w:rPr>
          <w:b/>
          <w:sz w:val="19"/>
        </w:rPr>
      </w:pPr>
    </w:p>
    <w:p>
      <w:pPr>
        <w:pStyle w:val="BodyText"/>
        <w:spacing w:before="94"/>
        <w:ind w:left="305"/>
      </w:pPr>
      <w:r>
        <w:rPr/>
        <w:t>Es dona compte dels Decrets d´Alcadia compresos entre el número 620 i 992 de 2018, ambdós inclosos.</w:t>
      </w:r>
    </w:p>
    <w:p>
      <w:pPr>
        <w:pStyle w:val="BodyText"/>
        <w:spacing w:before="8"/>
        <w:rPr>
          <w:sz w:val="21"/>
        </w:rPr>
      </w:pPr>
    </w:p>
    <w:p>
      <w:pPr>
        <w:pStyle w:val="Heading1"/>
        <w:spacing w:before="1"/>
        <w:jc w:val="left"/>
      </w:pPr>
      <w:r>
        <w:rPr/>
        <w:t>17.-PRECS I PREGUNTES</w:t>
      </w:r>
    </w:p>
    <w:p>
      <w:pPr>
        <w:pStyle w:val="BodyText"/>
        <w:rPr>
          <w:b/>
          <w:sz w:val="24"/>
        </w:rPr>
      </w:pPr>
    </w:p>
    <w:p>
      <w:pPr>
        <w:pStyle w:val="BodyText"/>
        <w:spacing w:before="1"/>
        <w:rPr>
          <w:b/>
          <w:sz w:val="20"/>
        </w:rPr>
      </w:pPr>
    </w:p>
    <w:p>
      <w:pPr>
        <w:pStyle w:val="BodyText"/>
        <w:ind w:left="305" w:right="268"/>
        <w:jc w:val="both"/>
      </w:pPr>
      <w:r>
        <w:rPr/>
        <w:t>No havent-hi més assumptes a tractar, l’Alcaldia dóna per acabada la sessió a les 22:10 hores de la qual s’estén la present acta que signa amb mi, la Secretària que certifico, l’Alcalde-President de la Corporació.</w:t>
      </w:r>
    </w:p>
    <w:p>
      <w:pPr>
        <w:pStyle w:val="BodyText"/>
        <w:rPr>
          <w:sz w:val="24"/>
        </w:rPr>
      </w:pPr>
    </w:p>
    <w:p>
      <w:pPr>
        <w:pStyle w:val="BodyText"/>
        <w:rPr>
          <w:sz w:val="24"/>
        </w:rPr>
      </w:pPr>
    </w:p>
    <w:p>
      <w:pPr>
        <w:pStyle w:val="BodyText"/>
        <w:rPr>
          <w:sz w:val="24"/>
        </w:rPr>
      </w:pPr>
    </w:p>
    <w:p>
      <w:pPr>
        <w:pStyle w:val="BodyText"/>
        <w:rPr>
          <w:sz w:val="24"/>
        </w:rPr>
      </w:pPr>
    </w:p>
    <w:p>
      <w:pPr>
        <w:pStyle w:val="BodyText"/>
        <w:tabs>
          <w:tab w:pos="5262" w:val="left" w:leader="none"/>
        </w:tabs>
        <w:spacing w:line="252" w:lineRule="exact" w:before="164"/>
        <w:ind w:left="305"/>
        <w:jc w:val="both"/>
      </w:pPr>
      <w:r>
        <w:rPr/>
        <w:t>Raquel</w:t>
      </w:r>
      <w:r>
        <w:rPr>
          <w:spacing w:val="-3"/>
        </w:rPr>
        <w:t> </w:t>
      </w:r>
      <w:r>
        <w:rPr/>
        <w:t>Costa</w:t>
      </w:r>
      <w:r>
        <w:rPr>
          <w:spacing w:val="-5"/>
        </w:rPr>
        <w:t> </w:t>
      </w:r>
      <w:r>
        <w:rPr/>
        <w:t>Iglesias</w:t>
        <w:tab/>
        <w:t>Ramon Roqué i</w:t>
      </w:r>
      <w:r>
        <w:rPr>
          <w:spacing w:val="-4"/>
        </w:rPr>
        <w:t> </w:t>
      </w:r>
      <w:r>
        <w:rPr/>
        <w:t>Riu</w:t>
      </w:r>
    </w:p>
    <w:p>
      <w:pPr>
        <w:pStyle w:val="BodyText"/>
        <w:tabs>
          <w:tab w:pos="5262" w:val="left" w:leader="none"/>
        </w:tabs>
        <w:spacing w:line="252" w:lineRule="exact"/>
        <w:ind w:left="305"/>
        <w:jc w:val="both"/>
      </w:pPr>
      <w:r>
        <w:rPr/>
        <w:t>Secretària-Interventora</w:t>
        <w:tab/>
        <w:t>L’Alcalde</w:t>
      </w:r>
    </w:p>
    <w:sectPr>
      <w:headerReference w:type="default" r:id="rId51"/>
      <w:footerReference w:type="default" r:id="rId52"/>
      <w:pgSz w:w="11910" w:h="16840"/>
      <w:pgMar w:header="766" w:footer="0" w:top="1920" w:bottom="280" w:left="168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2.329987pt;margin-top:717.385742pt;width:247.45pt;height:65pt;mso-position-horizontal-relative:page;mso-position-vertical-relative:page;z-index:-53536" type="#_x0000_t202" filled="false" stroked="false">
          <v:textbox inset="0,0,0,0">
            <w:txbxContent>
              <w:p>
                <w:pPr>
                  <w:pStyle w:val="BodyText"/>
                  <w:spacing w:before="13"/>
                  <w:ind w:left="2333" w:right="18" w:firstLine="1541"/>
                  <w:jc w:val="both"/>
                </w:pPr>
                <w:r>
                  <w:rPr/>
                  <w:t>Òrgan: Ple Caràcter: Sessió Ordinària Data: 20 de juliol de 2018</w:t>
                </w:r>
              </w:p>
              <w:p>
                <w:pPr>
                  <w:pStyle w:val="BodyText"/>
                  <w:ind w:left="20"/>
                </w:pPr>
                <w:r>
                  <w:rPr/>
                  <w:t>Expedient núm. 9999-00118-2017 (X2017000118)</w:t>
                </w:r>
              </w:p>
              <w:p>
                <w:pPr>
                  <w:pStyle w:val="BodyText"/>
                  <w:spacing w:before="2"/>
                  <w:ind w:left="2674"/>
                </w:pPr>
                <w:r>
                  <w:rPr/>
                  <w:t>Aprovat per Unanimitat</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6.209991pt;margin-top:717.385742pt;width:253.6pt;height:65pt;mso-position-horizontal-relative:page;mso-position-vertical-relative:page;z-index:-53512" type="#_x0000_t202" filled="false" stroked="false">
          <v:textbox inset="0,0,0,0">
            <w:txbxContent>
              <w:p>
                <w:pPr>
                  <w:pStyle w:val="BodyText"/>
                  <w:spacing w:before="13"/>
                  <w:ind w:left="2456" w:right="18" w:firstLine="1541"/>
                  <w:jc w:val="both"/>
                </w:pPr>
                <w:r>
                  <w:rPr/>
                  <w:t>Òrgan: Ple Caràcter: Sessió Ordinària Data: 20 de juliol de 2018</w:t>
                </w:r>
              </w:p>
              <w:p>
                <w:pPr>
                  <w:pStyle w:val="BodyText"/>
                  <w:ind w:left="20"/>
                </w:pPr>
                <w:r>
                  <w:rPr/>
                  <w:t>Expedient núm. 2296-000003-2018 (X2018000432)</w:t>
                </w:r>
              </w:p>
              <w:p>
                <w:pPr>
                  <w:pStyle w:val="BodyText"/>
                  <w:spacing w:before="2"/>
                  <w:ind w:left="2797"/>
                </w:pPr>
                <w:r>
                  <w:rPr/>
                  <w:t>Aprovat per Unanimitat</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1895">
          <wp:simplePos x="0" y="0"/>
          <wp:positionH relativeFrom="page">
            <wp:posOffset>1297101</wp:posOffset>
          </wp:positionH>
          <wp:positionV relativeFrom="page">
            <wp:posOffset>486236</wp:posOffset>
          </wp:positionV>
          <wp:extent cx="2234234" cy="733136"/>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159">
          <wp:simplePos x="0" y="0"/>
          <wp:positionH relativeFrom="page">
            <wp:posOffset>1297101</wp:posOffset>
          </wp:positionH>
          <wp:positionV relativeFrom="page">
            <wp:posOffset>486236</wp:posOffset>
          </wp:positionV>
          <wp:extent cx="2234234" cy="733136"/>
          <wp:effectExtent l="0" t="0" r="0" b="0"/>
          <wp:wrapNone/>
          <wp:docPr id="21" name="image1.jpeg" descr=""/>
          <wp:cNvGraphicFramePr>
            <a:graphicFrameLocks noChangeAspect="1"/>
          </wp:cNvGraphicFramePr>
          <a:graphic>
            <a:graphicData uri="http://schemas.openxmlformats.org/drawingml/2006/picture">
              <pic:pic>
                <pic:nvPicPr>
                  <pic:cNvPr id="22"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183">
          <wp:simplePos x="0" y="0"/>
          <wp:positionH relativeFrom="page">
            <wp:posOffset>1297101</wp:posOffset>
          </wp:positionH>
          <wp:positionV relativeFrom="page">
            <wp:posOffset>486236</wp:posOffset>
          </wp:positionV>
          <wp:extent cx="2234234" cy="733136"/>
          <wp:effectExtent l="0" t="0" r="0" b="0"/>
          <wp:wrapNone/>
          <wp:docPr id="23" name="image1.jpeg" descr=""/>
          <wp:cNvGraphicFramePr>
            <a:graphicFrameLocks noChangeAspect="1"/>
          </wp:cNvGraphicFramePr>
          <a:graphic>
            <a:graphicData uri="http://schemas.openxmlformats.org/drawingml/2006/picture">
              <pic:pic>
                <pic:nvPicPr>
                  <pic:cNvPr id="24"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207">
          <wp:simplePos x="0" y="0"/>
          <wp:positionH relativeFrom="page">
            <wp:posOffset>1297101</wp:posOffset>
          </wp:positionH>
          <wp:positionV relativeFrom="page">
            <wp:posOffset>486236</wp:posOffset>
          </wp:positionV>
          <wp:extent cx="2234234" cy="733136"/>
          <wp:effectExtent l="0" t="0" r="0" b="0"/>
          <wp:wrapNone/>
          <wp:docPr id="25" name="image1.jpeg" descr=""/>
          <wp:cNvGraphicFramePr>
            <a:graphicFrameLocks noChangeAspect="1"/>
          </wp:cNvGraphicFramePr>
          <a:graphic>
            <a:graphicData uri="http://schemas.openxmlformats.org/drawingml/2006/picture">
              <pic:pic>
                <pic:nvPicPr>
                  <pic:cNvPr id="26"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231">
          <wp:simplePos x="0" y="0"/>
          <wp:positionH relativeFrom="page">
            <wp:posOffset>1297101</wp:posOffset>
          </wp:positionH>
          <wp:positionV relativeFrom="page">
            <wp:posOffset>486236</wp:posOffset>
          </wp:positionV>
          <wp:extent cx="2234234" cy="733136"/>
          <wp:effectExtent l="0" t="0" r="0" b="0"/>
          <wp:wrapNone/>
          <wp:docPr id="27" name="image1.jpeg" descr=""/>
          <wp:cNvGraphicFramePr>
            <a:graphicFrameLocks noChangeAspect="1"/>
          </wp:cNvGraphicFramePr>
          <a:graphic>
            <a:graphicData uri="http://schemas.openxmlformats.org/drawingml/2006/picture">
              <pic:pic>
                <pic:nvPicPr>
                  <pic:cNvPr id="28"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255">
          <wp:simplePos x="0" y="0"/>
          <wp:positionH relativeFrom="page">
            <wp:posOffset>1297101</wp:posOffset>
          </wp:positionH>
          <wp:positionV relativeFrom="page">
            <wp:posOffset>486236</wp:posOffset>
          </wp:positionV>
          <wp:extent cx="2234234" cy="733136"/>
          <wp:effectExtent l="0" t="0" r="0" b="0"/>
          <wp:wrapNone/>
          <wp:docPr id="29" name="image1.jpeg" descr=""/>
          <wp:cNvGraphicFramePr>
            <a:graphicFrameLocks noChangeAspect="1"/>
          </wp:cNvGraphicFramePr>
          <a:graphic>
            <a:graphicData uri="http://schemas.openxmlformats.org/drawingml/2006/picture">
              <pic:pic>
                <pic:nvPicPr>
                  <pic:cNvPr id="30"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279">
          <wp:simplePos x="0" y="0"/>
          <wp:positionH relativeFrom="page">
            <wp:posOffset>1297101</wp:posOffset>
          </wp:positionH>
          <wp:positionV relativeFrom="page">
            <wp:posOffset>486236</wp:posOffset>
          </wp:positionV>
          <wp:extent cx="2234234" cy="733136"/>
          <wp:effectExtent l="0" t="0" r="0" b="0"/>
          <wp:wrapNone/>
          <wp:docPr id="31" name="image1.jpeg" descr=""/>
          <wp:cNvGraphicFramePr>
            <a:graphicFrameLocks noChangeAspect="1"/>
          </wp:cNvGraphicFramePr>
          <a:graphic>
            <a:graphicData uri="http://schemas.openxmlformats.org/drawingml/2006/picture">
              <pic:pic>
                <pic:nvPicPr>
                  <pic:cNvPr id="32"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303">
          <wp:simplePos x="0" y="0"/>
          <wp:positionH relativeFrom="page">
            <wp:posOffset>1297101</wp:posOffset>
          </wp:positionH>
          <wp:positionV relativeFrom="page">
            <wp:posOffset>486236</wp:posOffset>
          </wp:positionV>
          <wp:extent cx="2234234" cy="733136"/>
          <wp:effectExtent l="0" t="0" r="0" b="0"/>
          <wp:wrapNone/>
          <wp:docPr id="33" name="image1.jpeg" descr=""/>
          <wp:cNvGraphicFramePr>
            <a:graphicFrameLocks noChangeAspect="1"/>
          </wp:cNvGraphicFramePr>
          <a:graphic>
            <a:graphicData uri="http://schemas.openxmlformats.org/drawingml/2006/picture">
              <pic:pic>
                <pic:nvPicPr>
                  <pic:cNvPr id="34"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327">
          <wp:simplePos x="0" y="0"/>
          <wp:positionH relativeFrom="page">
            <wp:posOffset>1297101</wp:posOffset>
          </wp:positionH>
          <wp:positionV relativeFrom="page">
            <wp:posOffset>486236</wp:posOffset>
          </wp:positionV>
          <wp:extent cx="2234234" cy="733136"/>
          <wp:effectExtent l="0" t="0" r="0" b="0"/>
          <wp:wrapNone/>
          <wp:docPr id="35" name="image1.jpeg" descr=""/>
          <wp:cNvGraphicFramePr>
            <a:graphicFrameLocks noChangeAspect="1"/>
          </wp:cNvGraphicFramePr>
          <a:graphic>
            <a:graphicData uri="http://schemas.openxmlformats.org/drawingml/2006/picture">
              <pic:pic>
                <pic:nvPicPr>
                  <pic:cNvPr id="36"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351">
          <wp:simplePos x="0" y="0"/>
          <wp:positionH relativeFrom="page">
            <wp:posOffset>1297101</wp:posOffset>
          </wp:positionH>
          <wp:positionV relativeFrom="page">
            <wp:posOffset>486236</wp:posOffset>
          </wp:positionV>
          <wp:extent cx="2234234" cy="733136"/>
          <wp:effectExtent l="0" t="0" r="0" b="0"/>
          <wp:wrapNone/>
          <wp:docPr id="37" name="image1.jpeg" descr=""/>
          <wp:cNvGraphicFramePr>
            <a:graphicFrameLocks noChangeAspect="1"/>
          </wp:cNvGraphicFramePr>
          <a:graphic>
            <a:graphicData uri="http://schemas.openxmlformats.org/drawingml/2006/picture">
              <pic:pic>
                <pic:nvPicPr>
                  <pic:cNvPr id="38"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375">
          <wp:simplePos x="0" y="0"/>
          <wp:positionH relativeFrom="page">
            <wp:posOffset>1297101</wp:posOffset>
          </wp:positionH>
          <wp:positionV relativeFrom="page">
            <wp:posOffset>486236</wp:posOffset>
          </wp:positionV>
          <wp:extent cx="2234234" cy="733136"/>
          <wp:effectExtent l="0" t="0" r="0" b="0"/>
          <wp:wrapNone/>
          <wp:docPr id="39" name="image1.jpeg" descr=""/>
          <wp:cNvGraphicFramePr>
            <a:graphicFrameLocks noChangeAspect="1"/>
          </wp:cNvGraphicFramePr>
          <a:graphic>
            <a:graphicData uri="http://schemas.openxmlformats.org/drawingml/2006/picture">
              <pic:pic>
                <pic:nvPicPr>
                  <pic:cNvPr id="40"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1967">
          <wp:simplePos x="0" y="0"/>
          <wp:positionH relativeFrom="page">
            <wp:posOffset>1297101</wp:posOffset>
          </wp:positionH>
          <wp:positionV relativeFrom="page">
            <wp:posOffset>486236</wp:posOffset>
          </wp:positionV>
          <wp:extent cx="2234234" cy="733136"/>
          <wp:effectExtent l="0" t="0" r="0" b="0"/>
          <wp:wrapNone/>
          <wp:docPr id="5" name="image1.jpeg" descr=""/>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399">
          <wp:simplePos x="0" y="0"/>
          <wp:positionH relativeFrom="page">
            <wp:posOffset>1297101</wp:posOffset>
          </wp:positionH>
          <wp:positionV relativeFrom="page">
            <wp:posOffset>486236</wp:posOffset>
          </wp:positionV>
          <wp:extent cx="2234234" cy="733136"/>
          <wp:effectExtent l="0" t="0" r="0" b="0"/>
          <wp:wrapNone/>
          <wp:docPr id="41" name="image1.jpeg" descr=""/>
          <wp:cNvGraphicFramePr>
            <a:graphicFrameLocks noChangeAspect="1"/>
          </wp:cNvGraphicFramePr>
          <a:graphic>
            <a:graphicData uri="http://schemas.openxmlformats.org/drawingml/2006/picture">
              <pic:pic>
                <pic:nvPicPr>
                  <pic:cNvPr id="42"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423">
          <wp:simplePos x="0" y="0"/>
          <wp:positionH relativeFrom="page">
            <wp:posOffset>1297101</wp:posOffset>
          </wp:positionH>
          <wp:positionV relativeFrom="page">
            <wp:posOffset>486236</wp:posOffset>
          </wp:positionV>
          <wp:extent cx="2234234" cy="733136"/>
          <wp:effectExtent l="0" t="0" r="0" b="0"/>
          <wp:wrapNone/>
          <wp:docPr id="43" name="image1.jpeg" descr=""/>
          <wp:cNvGraphicFramePr>
            <a:graphicFrameLocks noChangeAspect="1"/>
          </wp:cNvGraphicFramePr>
          <a:graphic>
            <a:graphicData uri="http://schemas.openxmlformats.org/drawingml/2006/picture">
              <pic:pic>
                <pic:nvPicPr>
                  <pic:cNvPr id="44"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447">
          <wp:simplePos x="0" y="0"/>
          <wp:positionH relativeFrom="page">
            <wp:posOffset>1297101</wp:posOffset>
          </wp:positionH>
          <wp:positionV relativeFrom="page">
            <wp:posOffset>486236</wp:posOffset>
          </wp:positionV>
          <wp:extent cx="2234234" cy="733136"/>
          <wp:effectExtent l="0" t="0" r="0" b="0"/>
          <wp:wrapNone/>
          <wp:docPr id="45" name="image1.jpeg" descr=""/>
          <wp:cNvGraphicFramePr>
            <a:graphicFrameLocks noChangeAspect="1"/>
          </wp:cNvGraphicFramePr>
          <a:graphic>
            <a:graphicData uri="http://schemas.openxmlformats.org/drawingml/2006/picture">
              <pic:pic>
                <pic:nvPicPr>
                  <pic:cNvPr id="46"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1991">
          <wp:simplePos x="0" y="0"/>
          <wp:positionH relativeFrom="page">
            <wp:posOffset>1297101</wp:posOffset>
          </wp:positionH>
          <wp:positionV relativeFrom="page">
            <wp:posOffset>486236</wp:posOffset>
          </wp:positionV>
          <wp:extent cx="2234234" cy="733136"/>
          <wp:effectExtent l="0" t="0" r="0" b="0"/>
          <wp:wrapNone/>
          <wp:docPr id="7" name="image1.jpeg" descr=""/>
          <wp:cNvGraphicFramePr>
            <a:graphicFrameLocks noChangeAspect="1"/>
          </wp:cNvGraphicFramePr>
          <a:graphic>
            <a:graphicData uri="http://schemas.openxmlformats.org/drawingml/2006/picture">
              <pic:pic>
                <pic:nvPicPr>
                  <pic:cNvPr id="8"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015">
          <wp:simplePos x="0" y="0"/>
          <wp:positionH relativeFrom="page">
            <wp:posOffset>1297101</wp:posOffset>
          </wp:positionH>
          <wp:positionV relativeFrom="page">
            <wp:posOffset>486236</wp:posOffset>
          </wp:positionV>
          <wp:extent cx="2234234" cy="733136"/>
          <wp:effectExtent l="0" t="0" r="0" b="0"/>
          <wp:wrapNone/>
          <wp:docPr id="9" name="image1.jpeg" descr=""/>
          <wp:cNvGraphicFramePr>
            <a:graphicFrameLocks noChangeAspect="1"/>
          </wp:cNvGraphicFramePr>
          <a:graphic>
            <a:graphicData uri="http://schemas.openxmlformats.org/drawingml/2006/picture">
              <pic:pic>
                <pic:nvPicPr>
                  <pic:cNvPr id="10"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039">
          <wp:simplePos x="0" y="0"/>
          <wp:positionH relativeFrom="page">
            <wp:posOffset>1297101</wp:posOffset>
          </wp:positionH>
          <wp:positionV relativeFrom="page">
            <wp:posOffset>486236</wp:posOffset>
          </wp:positionV>
          <wp:extent cx="2234234" cy="733136"/>
          <wp:effectExtent l="0" t="0" r="0" b="0"/>
          <wp:wrapNone/>
          <wp:docPr id="11" name="image1.jpeg" descr=""/>
          <wp:cNvGraphicFramePr>
            <a:graphicFrameLocks noChangeAspect="1"/>
          </wp:cNvGraphicFramePr>
          <a:graphic>
            <a:graphicData uri="http://schemas.openxmlformats.org/drawingml/2006/picture">
              <pic:pic>
                <pic:nvPicPr>
                  <pic:cNvPr id="12"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063">
          <wp:simplePos x="0" y="0"/>
          <wp:positionH relativeFrom="page">
            <wp:posOffset>1297101</wp:posOffset>
          </wp:positionH>
          <wp:positionV relativeFrom="page">
            <wp:posOffset>486236</wp:posOffset>
          </wp:positionV>
          <wp:extent cx="2234234" cy="733136"/>
          <wp:effectExtent l="0" t="0" r="0" b="0"/>
          <wp:wrapNone/>
          <wp:docPr id="13" name="image1.jpeg" descr=""/>
          <wp:cNvGraphicFramePr>
            <a:graphicFrameLocks noChangeAspect="1"/>
          </wp:cNvGraphicFramePr>
          <a:graphic>
            <a:graphicData uri="http://schemas.openxmlformats.org/drawingml/2006/picture">
              <pic:pic>
                <pic:nvPicPr>
                  <pic:cNvPr id="14"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087">
          <wp:simplePos x="0" y="0"/>
          <wp:positionH relativeFrom="page">
            <wp:posOffset>1297101</wp:posOffset>
          </wp:positionH>
          <wp:positionV relativeFrom="page">
            <wp:posOffset>486236</wp:posOffset>
          </wp:positionV>
          <wp:extent cx="2234234" cy="733136"/>
          <wp:effectExtent l="0" t="0" r="0" b="0"/>
          <wp:wrapNone/>
          <wp:docPr id="15" name="image1.jpeg" descr=""/>
          <wp:cNvGraphicFramePr>
            <a:graphicFrameLocks noChangeAspect="1"/>
          </wp:cNvGraphicFramePr>
          <a:graphic>
            <a:graphicData uri="http://schemas.openxmlformats.org/drawingml/2006/picture">
              <pic:pic>
                <pic:nvPicPr>
                  <pic:cNvPr id="16"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111">
          <wp:simplePos x="0" y="0"/>
          <wp:positionH relativeFrom="page">
            <wp:posOffset>1297101</wp:posOffset>
          </wp:positionH>
          <wp:positionV relativeFrom="page">
            <wp:posOffset>486236</wp:posOffset>
          </wp:positionV>
          <wp:extent cx="2234234" cy="733136"/>
          <wp:effectExtent l="0" t="0" r="0" b="0"/>
          <wp:wrapNone/>
          <wp:docPr id="17" name="image1.jpeg" descr=""/>
          <wp:cNvGraphicFramePr>
            <a:graphicFrameLocks noChangeAspect="1"/>
          </wp:cNvGraphicFramePr>
          <a:graphic>
            <a:graphicData uri="http://schemas.openxmlformats.org/drawingml/2006/picture">
              <pic:pic>
                <pic:nvPicPr>
                  <pic:cNvPr id="18"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82135">
          <wp:simplePos x="0" y="0"/>
          <wp:positionH relativeFrom="page">
            <wp:posOffset>1297101</wp:posOffset>
          </wp:positionH>
          <wp:positionV relativeFrom="page">
            <wp:posOffset>486236</wp:posOffset>
          </wp:positionV>
          <wp:extent cx="2234234" cy="733136"/>
          <wp:effectExtent l="0" t="0" r="0" b="0"/>
          <wp:wrapNone/>
          <wp:docPr id="19" name="image1.jpeg" descr=""/>
          <wp:cNvGraphicFramePr>
            <a:graphicFrameLocks noChangeAspect="1"/>
          </wp:cNvGraphicFramePr>
          <a:graphic>
            <a:graphicData uri="http://schemas.openxmlformats.org/drawingml/2006/picture">
              <pic:pic>
                <pic:nvPicPr>
                  <pic:cNvPr id="20" name="image1.jpeg"/>
                  <pic:cNvPicPr/>
                </pic:nvPicPr>
                <pic:blipFill>
                  <a:blip r:embed="rId1" cstate="print"/>
                  <a:stretch>
                    <a:fillRect/>
                  </a:stretch>
                </pic:blipFill>
                <pic:spPr>
                  <a:xfrm>
                    <a:off x="0" y="0"/>
                    <a:ext cx="2234234" cy="73313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025" w:hanging="348"/>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385" w:hanging="360"/>
      </w:pPr>
      <w:rPr>
        <w:rFonts w:hint="default" w:ascii="Tahoma" w:hAnsi="Tahoma" w:eastAsia="Tahoma" w:cs="Tahoma"/>
        <w:w w:val="100"/>
        <w:sz w:val="22"/>
        <w:szCs w:val="22"/>
        <w:lang w:val="es-es" w:eastAsia="es-es" w:bidi="es-es"/>
      </w:rPr>
    </w:lvl>
    <w:lvl w:ilvl="2">
      <w:start w:val="0"/>
      <w:numFmt w:val="bullet"/>
      <w:lvlText w:val="•"/>
      <w:lvlJc w:val="left"/>
      <w:pPr>
        <w:ind w:left="2267" w:hanging="360"/>
      </w:pPr>
      <w:rPr>
        <w:rFonts w:hint="default"/>
        <w:lang w:val="es-es" w:eastAsia="es-es" w:bidi="es-es"/>
      </w:rPr>
    </w:lvl>
    <w:lvl w:ilvl="3">
      <w:start w:val="0"/>
      <w:numFmt w:val="bullet"/>
      <w:lvlText w:val="•"/>
      <w:lvlJc w:val="left"/>
      <w:pPr>
        <w:ind w:left="3154" w:hanging="360"/>
      </w:pPr>
      <w:rPr>
        <w:rFonts w:hint="default"/>
        <w:lang w:val="es-es" w:eastAsia="es-es" w:bidi="es-es"/>
      </w:rPr>
    </w:lvl>
    <w:lvl w:ilvl="4">
      <w:start w:val="0"/>
      <w:numFmt w:val="bullet"/>
      <w:lvlText w:val="•"/>
      <w:lvlJc w:val="left"/>
      <w:pPr>
        <w:ind w:left="4042" w:hanging="360"/>
      </w:pPr>
      <w:rPr>
        <w:rFonts w:hint="default"/>
        <w:lang w:val="es-es" w:eastAsia="es-es" w:bidi="es-es"/>
      </w:rPr>
    </w:lvl>
    <w:lvl w:ilvl="5">
      <w:start w:val="0"/>
      <w:numFmt w:val="bullet"/>
      <w:lvlText w:val="•"/>
      <w:lvlJc w:val="left"/>
      <w:pPr>
        <w:ind w:left="4929" w:hanging="360"/>
      </w:pPr>
      <w:rPr>
        <w:rFonts w:hint="default"/>
        <w:lang w:val="es-es" w:eastAsia="es-es" w:bidi="es-es"/>
      </w:rPr>
    </w:lvl>
    <w:lvl w:ilvl="6">
      <w:start w:val="0"/>
      <w:numFmt w:val="bullet"/>
      <w:lvlText w:val="•"/>
      <w:lvlJc w:val="left"/>
      <w:pPr>
        <w:ind w:left="5816" w:hanging="360"/>
      </w:pPr>
      <w:rPr>
        <w:rFonts w:hint="default"/>
        <w:lang w:val="es-es" w:eastAsia="es-es" w:bidi="es-es"/>
      </w:rPr>
    </w:lvl>
    <w:lvl w:ilvl="7">
      <w:start w:val="0"/>
      <w:numFmt w:val="bullet"/>
      <w:lvlText w:val="•"/>
      <w:lvlJc w:val="left"/>
      <w:pPr>
        <w:ind w:left="6704" w:hanging="360"/>
      </w:pPr>
      <w:rPr>
        <w:rFonts w:hint="default"/>
        <w:lang w:val="es-es" w:eastAsia="es-es" w:bidi="es-es"/>
      </w:rPr>
    </w:lvl>
    <w:lvl w:ilvl="8">
      <w:start w:val="0"/>
      <w:numFmt w:val="bullet"/>
      <w:lvlText w:val="•"/>
      <w:lvlJc w:val="left"/>
      <w:pPr>
        <w:ind w:left="7591" w:hanging="360"/>
      </w:pPr>
      <w:rPr>
        <w:rFonts w:hint="default"/>
        <w:lang w:val="es-es" w:eastAsia="es-es" w:bidi="es-es"/>
      </w:rPr>
    </w:lvl>
  </w:abstractNum>
  <w:abstractNum w:abstractNumId="8">
    <w:multiLevelType w:val="hybridMultilevel"/>
    <w:lvl w:ilvl="0">
      <w:start w:val="1"/>
      <w:numFmt w:val="upperRoman"/>
      <w:lvlText w:val="%1."/>
      <w:lvlJc w:val="left"/>
      <w:pPr>
        <w:ind w:left="1025" w:hanging="471"/>
        <w:jc w:val="right"/>
      </w:pPr>
      <w:rPr>
        <w:rFonts w:hint="default" w:ascii="Arial" w:hAnsi="Arial" w:eastAsia="Arial" w:cs="Arial"/>
        <w:spacing w:val="0"/>
        <w:w w:val="100"/>
        <w:sz w:val="22"/>
        <w:szCs w:val="22"/>
        <w:lang w:val="es-es" w:eastAsia="es-es" w:bidi="es-es"/>
      </w:rPr>
    </w:lvl>
    <w:lvl w:ilvl="1">
      <w:start w:val="0"/>
      <w:numFmt w:val="bullet"/>
      <w:lvlText w:val="•"/>
      <w:lvlJc w:val="left"/>
      <w:pPr>
        <w:ind w:left="1854" w:hanging="471"/>
      </w:pPr>
      <w:rPr>
        <w:rFonts w:hint="default"/>
        <w:lang w:val="es-es" w:eastAsia="es-es" w:bidi="es-es"/>
      </w:rPr>
    </w:lvl>
    <w:lvl w:ilvl="2">
      <w:start w:val="0"/>
      <w:numFmt w:val="bullet"/>
      <w:lvlText w:val="•"/>
      <w:lvlJc w:val="left"/>
      <w:pPr>
        <w:ind w:left="2689" w:hanging="471"/>
      </w:pPr>
      <w:rPr>
        <w:rFonts w:hint="default"/>
        <w:lang w:val="es-es" w:eastAsia="es-es" w:bidi="es-es"/>
      </w:rPr>
    </w:lvl>
    <w:lvl w:ilvl="3">
      <w:start w:val="0"/>
      <w:numFmt w:val="bullet"/>
      <w:lvlText w:val="•"/>
      <w:lvlJc w:val="left"/>
      <w:pPr>
        <w:ind w:left="3523" w:hanging="471"/>
      </w:pPr>
      <w:rPr>
        <w:rFonts w:hint="default"/>
        <w:lang w:val="es-es" w:eastAsia="es-es" w:bidi="es-es"/>
      </w:rPr>
    </w:lvl>
    <w:lvl w:ilvl="4">
      <w:start w:val="0"/>
      <w:numFmt w:val="bullet"/>
      <w:lvlText w:val="•"/>
      <w:lvlJc w:val="left"/>
      <w:pPr>
        <w:ind w:left="4358" w:hanging="471"/>
      </w:pPr>
      <w:rPr>
        <w:rFonts w:hint="default"/>
        <w:lang w:val="es-es" w:eastAsia="es-es" w:bidi="es-es"/>
      </w:rPr>
    </w:lvl>
    <w:lvl w:ilvl="5">
      <w:start w:val="0"/>
      <w:numFmt w:val="bullet"/>
      <w:lvlText w:val="•"/>
      <w:lvlJc w:val="left"/>
      <w:pPr>
        <w:ind w:left="5193" w:hanging="471"/>
      </w:pPr>
      <w:rPr>
        <w:rFonts w:hint="default"/>
        <w:lang w:val="es-es" w:eastAsia="es-es" w:bidi="es-es"/>
      </w:rPr>
    </w:lvl>
    <w:lvl w:ilvl="6">
      <w:start w:val="0"/>
      <w:numFmt w:val="bullet"/>
      <w:lvlText w:val="•"/>
      <w:lvlJc w:val="left"/>
      <w:pPr>
        <w:ind w:left="6027" w:hanging="471"/>
      </w:pPr>
      <w:rPr>
        <w:rFonts w:hint="default"/>
        <w:lang w:val="es-es" w:eastAsia="es-es" w:bidi="es-es"/>
      </w:rPr>
    </w:lvl>
    <w:lvl w:ilvl="7">
      <w:start w:val="0"/>
      <w:numFmt w:val="bullet"/>
      <w:lvlText w:val="•"/>
      <w:lvlJc w:val="left"/>
      <w:pPr>
        <w:ind w:left="6862" w:hanging="471"/>
      </w:pPr>
      <w:rPr>
        <w:rFonts w:hint="default"/>
        <w:lang w:val="es-es" w:eastAsia="es-es" w:bidi="es-es"/>
      </w:rPr>
    </w:lvl>
    <w:lvl w:ilvl="8">
      <w:start w:val="0"/>
      <w:numFmt w:val="bullet"/>
      <w:lvlText w:val="•"/>
      <w:lvlJc w:val="left"/>
      <w:pPr>
        <w:ind w:left="7697" w:hanging="471"/>
      </w:pPr>
      <w:rPr>
        <w:rFonts w:hint="default"/>
        <w:lang w:val="es-es" w:eastAsia="es-es" w:bidi="es-es"/>
      </w:rPr>
    </w:lvl>
  </w:abstractNum>
  <w:abstractNum w:abstractNumId="6">
    <w:multiLevelType w:val="hybridMultilevel"/>
    <w:lvl w:ilvl="0">
      <w:start w:val="0"/>
      <w:numFmt w:val="bullet"/>
      <w:lvlText w:val=""/>
      <w:lvlJc w:val="left"/>
      <w:pPr>
        <w:ind w:left="1025" w:hanging="360"/>
      </w:pPr>
      <w:rPr>
        <w:rFonts w:hint="default" w:ascii="Symbol" w:hAnsi="Symbol" w:eastAsia="Symbol" w:cs="Symbol"/>
        <w:w w:val="100"/>
        <w:sz w:val="22"/>
        <w:szCs w:val="22"/>
        <w:lang w:val="es-es" w:eastAsia="es-es" w:bidi="es-es"/>
      </w:rPr>
    </w:lvl>
    <w:lvl w:ilvl="1">
      <w:start w:val="0"/>
      <w:numFmt w:val="bullet"/>
      <w:lvlText w:val="•"/>
      <w:lvlJc w:val="left"/>
      <w:pPr>
        <w:ind w:left="1854" w:hanging="360"/>
      </w:pPr>
      <w:rPr>
        <w:rFonts w:hint="default"/>
        <w:lang w:val="es-es" w:eastAsia="es-es" w:bidi="es-es"/>
      </w:rPr>
    </w:lvl>
    <w:lvl w:ilvl="2">
      <w:start w:val="0"/>
      <w:numFmt w:val="bullet"/>
      <w:lvlText w:val="•"/>
      <w:lvlJc w:val="left"/>
      <w:pPr>
        <w:ind w:left="2689" w:hanging="360"/>
      </w:pPr>
      <w:rPr>
        <w:rFonts w:hint="default"/>
        <w:lang w:val="es-es" w:eastAsia="es-es" w:bidi="es-es"/>
      </w:rPr>
    </w:lvl>
    <w:lvl w:ilvl="3">
      <w:start w:val="0"/>
      <w:numFmt w:val="bullet"/>
      <w:lvlText w:val="•"/>
      <w:lvlJc w:val="left"/>
      <w:pPr>
        <w:ind w:left="3523" w:hanging="360"/>
      </w:pPr>
      <w:rPr>
        <w:rFonts w:hint="default"/>
        <w:lang w:val="es-es" w:eastAsia="es-es" w:bidi="es-es"/>
      </w:rPr>
    </w:lvl>
    <w:lvl w:ilvl="4">
      <w:start w:val="0"/>
      <w:numFmt w:val="bullet"/>
      <w:lvlText w:val="•"/>
      <w:lvlJc w:val="left"/>
      <w:pPr>
        <w:ind w:left="4358" w:hanging="360"/>
      </w:pPr>
      <w:rPr>
        <w:rFonts w:hint="default"/>
        <w:lang w:val="es-es" w:eastAsia="es-es" w:bidi="es-es"/>
      </w:rPr>
    </w:lvl>
    <w:lvl w:ilvl="5">
      <w:start w:val="0"/>
      <w:numFmt w:val="bullet"/>
      <w:lvlText w:val="•"/>
      <w:lvlJc w:val="left"/>
      <w:pPr>
        <w:ind w:left="5193" w:hanging="360"/>
      </w:pPr>
      <w:rPr>
        <w:rFonts w:hint="default"/>
        <w:lang w:val="es-es" w:eastAsia="es-es" w:bidi="es-es"/>
      </w:rPr>
    </w:lvl>
    <w:lvl w:ilvl="6">
      <w:start w:val="0"/>
      <w:numFmt w:val="bullet"/>
      <w:lvlText w:val="•"/>
      <w:lvlJc w:val="left"/>
      <w:pPr>
        <w:ind w:left="6027" w:hanging="360"/>
      </w:pPr>
      <w:rPr>
        <w:rFonts w:hint="default"/>
        <w:lang w:val="es-es" w:eastAsia="es-es" w:bidi="es-es"/>
      </w:rPr>
    </w:lvl>
    <w:lvl w:ilvl="7">
      <w:start w:val="0"/>
      <w:numFmt w:val="bullet"/>
      <w:lvlText w:val="•"/>
      <w:lvlJc w:val="left"/>
      <w:pPr>
        <w:ind w:left="6862" w:hanging="360"/>
      </w:pPr>
      <w:rPr>
        <w:rFonts w:hint="default"/>
        <w:lang w:val="es-es" w:eastAsia="es-es" w:bidi="es-es"/>
      </w:rPr>
    </w:lvl>
    <w:lvl w:ilvl="8">
      <w:start w:val="0"/>
      <w:numFmt w:val="bullet"/>
      <w:lvlText w:val="•"/>
      <w:lvlJc w:val="left"/>
      <w:pPr>
        <w:ind w:left="7697" w:hanging="360"/>
      </w:pPr>
      <w:rPr>
        <w:rFonts w:hint="default"/>
        <w:lang w:val="es-es" w:eastAsia="es-es" w:bidi="es-es"/>
      </w:rPr>
    </w:lvl>
  </w:abstractNum>
  <w:abstractNum w:abstractNumId="5">
    <w:multiLevelType w:val="hybridMultilevel"/>
    <w:lvl w:ilvl="0">
      <w:start w:val="2"/>
      <w:numFmt w:val="decimal"/>
      <w:lvlText w:val="%1"/>
      <w:lvlJc w:val="left"/>
      <w:pPr>
        <w:ind w:left="734" w:hanging="430"/>
        <w:jc w:val="left"/>
      </w:pPr>
      <w:rPr>
        <w:rFonts w:hint="default"/>
        <w:lang w:val="es-es" w:eastAsia="es-es" w:bidi="es-es"/>
      </w:rPr>
    </w:lvl>
    <w:lvl w:ilvl="1">
      <w:start w:val="2"/>
      <w:numFmt w:val="decimal"/>
      <w:lvlText w:val="%1.%2."/>
      <w:lvlJc w:val="left"/>
      <w:pPr>
        <w:ind w:left="734" w:hanging="430"/>
        <w:jc w:val="left"/>
      </w:pPr>
      <w:rPr>
        <w:rFonts w:hint="default" w:ascii="Arial" w:hAnsi="Arial" w:eastAsia="Arial" w:cs="Arial"/>
        <w:i/>
        <w:spacing w:val="-1"/>
        <w:w w:val="100"/>
        <w:sz w:val="22"/>
        <w:szCs w:val="22"/>
        <w:lang w:val="es-es" w:eastAsia="es-es" w:bidi="es-es"/>
      </w:rPr>
    </w:lvl>
    <w:lvl w:ilvl="2">
      <w:start w:val="1"/>
      <w:numFmt w:val="decimal"/>
      <w:lvlText w:val="%1.%2.%3."/>
      <w:lvlJc w:val="left"/>
      <w:pPr>
        <w:ind w:left="305" w:hanging="708"/>
        <w:jc w:val="left"/>
      </w:pPr>
      <w:rPr>
        <w:rFonts w:hint="default" w:ascii="Arial" w:hAnsi="Arial" w:eastAsia="Arial" w:cs="Arial"/>
        <w:i/>
        <w:spacing w:val="-3"/>
        <w:w w:val="100"/>
        <w:sz w:val="22"/>
        <w:szCs w:val="22"/>
        <w:lang w:val="es-es" w:eastAsia="es-es" w:bidi="es-es"/>
      </w:rPr>
    </w:lvl>
    <w:lvl w:ilvl="3">
      <w:start w:val="0"/>
      <w:numFmt w:val="bullet"/>
      <w:lvlText w:val="•"/>
      <w:lvlJc w:val="left"/>
      <w:pPr>
        <w:ind w:left="2656" w:hanging="708"/>
      </w:pPr>
      <w:rPr>
        <w:rFonts w:hint="default"/>
        <w:lang w:val="es-es" w:eastAsia="es-es" w:bidi="es-es"/>
      </w:rPr>
    </w:lvl>
    <w:lvl w:ilvl="4">
      <w:start w:val="0"/>
      <w:numFmt w:val="bullet"/>
      <w:lvlText w:val="•"/>
      <w:lvlJc w:val="left"/>
      <w:pPr>
        <w:ind w:left="3615" w:hanging="708"/>
      </w:pPr>
      <w:rPr>
        <w:rFonts w:hint="default"/>
        <w:lang w:val="es-es" w:eastAsia="es-es" w:bidi="es-es"/>
      </w:rPr>
    </w:lvl>
    <w:lvl w:ilvl="5">
      <w:start w:val="0"/>
      <w:numFmt w:val="bullet"/>
      <w:lvlText w:val="•"/>
      <w:lvlJc w:val="left"/>
      <w:pPr>
        <w:ind w:left="4573" w:hanging="708"/>
      </w:pPr>
      <w:rPr>
        <w:rFonts w:hint="default"/>
        <w:lang w:val="es-es" w:eastAsia="es-es" w:bidi="es-es"/>
      </w:rPr>
    </w:lvl>
    <w:lvl w:ilvl="6">
      <w:start w:val="0"/>
      <w:numFmt w:val="bullet"/>
      <w:lvlText w:val="•"/>
      <w:lvlJc w:val="left"/>
      <w:pPr>
        <w:ind w:left="5532" w:hanging="708"/>
      </w:pPr>
      <w:rPr>
        <w:rFonts w:hint="default"/>
        <w:lang w:val="es-es" w:eastAsia="es-es" w:bidi="es-es"/>
      </w:rPr>
    </w:lvl>
    <w:lvl w:ilvl="7">
      <w:start w:val="0"/>
      <w:numFmt w:val="bullet"/>
      <w:lvlText w:val="•"/>
      <w:lvlJc w:val="left"/>
      <w:pPr>
        <w:ind w:left="6490" w:hanging="708"/>
      </w:pPr>
      <w:rPr>
        <w:rFonts w:hint="default"/>
        <w:lang w:val="es-es" w:eastAsia="es-es" w:bidi="es-es"/>
      </w:rPr>
    </w:lvl>
    <w:lvl w:ilvl="8">
      <w:start w:val="0"/>
      <w:numFmt w:val="bullet"/>
      <w:lvlText w:val="•"/>
      <w:lvlJc w:val="left"/>
      <w:pPr>
        <w:ind w:left="7449" w:hanging="708"/>
      </w:pPr>
      <w:rPr>
        <w:rFonts w:hint="default"/>
        <w:lang w:val="es-es" w:eastAsia="es-es" w:bidi="es-es"/>
      </w:rPr>
    </w:lvl>
  </w:abstractNum>
  <w:abstractNum w:abstractNumId="4">
    <w:multiLevelType w:val="hybridMultilevel"/>
    <w:lvl w:ilvl="0">
      <w:start w:val="2"/>
      <w:numFmt w:val="decimal"/>
      <w:lvlText w:val="%1"/>
      <w:lvlJc w:val="left"/>
      <w:pPr>
        <w:ind w:left="734" w:hanging="430"/>
        <w:jc w:val="left"/>
      </w:pPr>
      <w:rPr>
        <w:rFonts w:hint="default"/>
        <w:lang w:val="es-es" w:eastAsia="es-es" w:bidi="es-es"/>
      </w:rPr>
    </w:lvl>
    <w:lvl w:ilvl="1">
      <w:start w:val="1"/>
      <w:numFmt w:val="decimal"/>
      <w:lvlText w:val="%1.%2."/>
      <w:lvlJc w:val="left"/>
      <w:pPr>
        <w:ind w:left="734" w:hanging="430"/>
        <w:jc w:val="left"/>
      </w:pPr>
      <w:rPr>
        <w:rFonts w:hint="default" w:ascii="Arial" w:hAnsi="Arial" w:eastAsia="Arial" w:cs="Arial"/>
        <w:i/>
        <w:spacing w:val="-1"/>
        <w:w w:val="100"/>
        <w:sz w:val="22"/>
        <w:szCs w:val="22"/>
        <w:lang w:val="es-es" w:eastAsia="es-es" w:bidi="es-es"/>
      </w:rPr>
    </w:lvl>
    <w:lvl w:ilvl="2">
      <w:start w:val="1"/>
      <w:numFmt w:val="decimal"/>
      <w:lvlText w:val="%1.%2.%3."/>
      <w:lvlJc w:val="left"/>
      <w:pPr>
        <w:ind w:left="305" w:hanging="626"/>
        <w:jc w:val="left"/>
      </w:pPr>
      <w:rPr>
        <w:rFonts w:hint="default" w:ascii="Arial" w:hAnsi="Arial" w:eastAsia="Arial" w:cs="Arial"/>
        <w:i/>
        <w:spacing w:val="-3"/>
        <w:w w:val="100"/>
        <w:sz w:val="22"/>
        <w:szCs w:val="22"/>
        <w:lang w:val="es-es" w:eastAsia="es-es" w:bidi="es-es"/>
      </w:rPr>
    </w:lvl>
    <w:lvl w:ilvl="3">
      <w:start w:val="0"/>
      <w:numFmt w:val="bullet"/>
      <w:lvlText w:val="•"/>
      <w:lvlJc w:val="left"/>
      <w:pPr>
        <w:ind w:left="2656" w:hanging="626"/>
      </w:pPr>
      <w:rPr>
        <w:rFonts w:hint="default"/>
        <w:lang w:val="es-es" w:eastAsia="es-es" w:bidi="es-es"/>
      </w:rPr>
    </w:lvl>
    <w:lvl w:ilvl="4">
      <w:start w:val="0"/>
      <w:numFmt w:val="bullet"/>
      <w:lvlText w:val="•"/>
      <w:lvlJc w:val="left"/>
      <w:pPr>
        <w:ind w:left="3615" w:hanging="626"/>
      </w:pPr>
      <w:rPr>
        <w:rFonts w:hint="default"/>
        <w:lang w:val="es-es" w:eastAsia="es-es" w:bidi="es-es"/>
      </w:rPr>
    </w:lvl>
    <w:lvl w:ilvl="5">
      <w:start w:val="0"/>
      <w:numFmt w:val="bullet"/>
      <w:lvlText w:val="•"/>
      <w:lvlJc w:val="left"/>
      <w:pPr>
        <w:ind w:left="4573" w:hanging="626"/>
      </w:pPr>
      <w:rPr>
        <w:rFonts w:hint="default"/>
        <w:lang w:val="es-es" w:eastAsia="es-es" w:bidi="es-es"/>
      </w:rPr>
    </w:lvl>
    <w:lvl w:ilvl="6">
      <w:start w:val="0"/>
      <w:numFmt w:val="bullet"/>
      <w:lvlText w:val="•"/>
      <w:lvlJc w:val="left"/>
      <w:pPr>
        <w:ind w:left="5532" w:hanging="626"/>
      </w:pPr>
      <w:rPr>
        <w:rFonts w:hint="default"/>
        <w:lang w:val="es-es" w:eastAsia="es-es" w:bidi="es-es"/>
      </w:rPr>
    </w:lvl>
    <w:lvl w:ilvl="7">
      <w:start w:val="0"/>
      <w:numFmt w:val="bullet"/>
      <w:lvlText w:val="•"/>
      <w:lvlJc w:val="left"/>
      <w:pPr>
        <w:ind w:left="6490" w:hanging="626"/>
      </w:pPr>
      <w:rPr>
        <w:rFonts w:hint="default"/>
        <w:lang w:val="es-es" w:eastAsia="es-es" w:bidi="es-es"/>
      </w:rPr>
    </w:lvl>
    <w:lvl w:ilvl="8">
      <w:start w:val="0"/>
      <w:numFmt w:val="bullet"/>
      <w:lvlText w:val="•"/>
      <w:lvlJc w:val="left"/>
      <w:pPr>
        <w:ind w:left="7449" w:hanging="626"/>
      </w:pPr>
      <w:rPr>
        <w:rFonts w:hint="default"/>
        <w:lang w:val="es-es" w:eastAsia="es-es" w:bidi="es-es"/>
      </w:rPr>
    </w:lvl>
  </w:abstractNum>
  <w:abstractNum w:abstractNumId="3">
    <w:multiLevelType w:val="hybridMultilevel"/>
    <w:lvl w:ilvl="0">
      <w:start w:val="1"/>
      <w:numFmt w:val="decimal"/>
      <w:lvlText w:val="%1"/>
      <w:lvlJc w:val="left"/>
      <w:pPr>
        <w:ind w:left="305" w:hanging="432"/>
        <w:jc w:val="left"/>
      </w:pPr>
      <w:rPr>
        <w:rFonts w:hint="default"/>
        <w:lang w:val="es-es" w:eastAsia="es-es" w:bidi="es-es"/>
      </w:rPr>
    </w:lvl>
    <w:lvl w:ilvl="1">
      <w:start w:val="1"/>
      <w:numFmt w:val="decimal"/>
      <w:lvlText w:val="%1.%2."/>
      <w:lvlJc w:val="left"/>
      <w:pPr>
        <w:ind w:left="305" w:hanging="432"/>
        <w:jc w:val="left"/>
      </w:pPr>
      <w:rPr>
        <w:rFonts w:hint="default" w:ascii="Arial" w:hAnsi="Arial" w:eastAsia="Arial" w:cs="Arial"/>
        <w:i/>
        <w:spacing w:val="-1"/>
        <w:w w:val="100"/>
        <w:sz w:val="22"/>
        <w:szCs w:val="22"/>
        <w:lang w:val="es-es" w:eastAsia="es-es" w:bidi="es-es"/>
      </w:rPr>
    </w:lvl>
    <w:lvl w:ilvl="2">
      <w:start w:val="0"/>
      <w:numFmt w:val="bullet"/>
      <w:lvlText w:val="•"/>
      <w:lvlJc w:val="left"/>
      <w:pPr>
        <w:ind w:left="2113" w:hanging="432"/>
      </w:pPr>
      <w:rPr>
        <w:rFonts w:hint="default"/>
        <w:lang w:val="es-es" w:eastAsia="es-es" w:bidi="es-es"/>
      </w:rPr>
    </w:lvl>
    <w:lvl w:ilvl="3">
      <w:start w:val="0"/>
      <w:numFmt w:val="bullet"/>
      <w:lvlText w:val="•"/>
      <w:lvlJc w:val="left"/>
      <w:pPr>
        <w:ind w:left="3019" w:hanging="432"/>
      </w:pPr>
      <w:rPr>
        <w:rFonts w:hint="default"/>
        <w:lang w:val="es-es" w:eastAsia="es-es" w:bidi="es-es"/>
      </w:rPr>
    </w:lvl>
    <w:lvl w:ilvl="4">
      <w:start w:val="0"/>
      <w:numFmt w:val="bullet"/>
      <w:lvlText w:val="•"/>
      <w:lvlJc w:val="left"/>
      <w:pPr>
        <w:ind w:left="3926" w:hanging="432"/>
      </w:pPr>
      <w:rPr>
        <w:rFonts w:hint="default"/>
        <w:lang w:val="es-es" w:eastAsia="es-es" w:bidi="es-es"/>
      </w:rPr>
    </w:lvl>
    <w:lvl w:ilvl="5">
      <w:start w:val="0"/>
      <w:numFmt w:val="bullet"/>
      <w:lvlText w:val="•"/>
      <w:lvlJc w:val="left"/>
      <w:pPr>
        <w:ind w:left="4833" w:hanging="432"/>
      </w:pPr>
      <w:rPr>
        <w:rFonts w:hint="default"/>
        <w:lang w:val="es-es" w:eastAsia="es-es" w:bidi="es-es"/>
      </w:rPr>
    </w:lvl>
    <w:lvl w:ilvl="6">
      <w:start w:val="0"/>
      <w:numFmt w:val="bullet"/>
      <w:lvlText w:val="•"/>
      <w:lvlJc w:val="left"/>
      <w:pPr>
        <w:ind w:left="5739" w:hanging="432"/>
      </w:pPr>
      <w:rPr>
        <w:rFonts w:hint="default"/>
        <w:lang w:val="es-es" w:eastAsia="es-es" w:bidi="es-es"/>
      </w:rPr>
    </w:lvl>
    <w:lvl w:ilvl="7">
      <w:start w:val="0"/>
      <w:numFmt w:val="bullet"/>
      <w:lvlText w:val="•"/>
      <w:lvlJc w:val="left"/>
      <w:pPr>
        <w:ind w:left="6646" w:hanging="432"/>
      </w:pPr>
      <w:rPr>
        <w:rFonts w:hint="default"/>
        <w:lang w:val="es-es" w:eastAsia="es-es" w:bidi="es-es"/>
      </w:rPr>
    </w:lvl>
    <w:lvl w:ilvl="8">
      <w:start w:val="0"/>
      <w:numFmt w:val="bullet"/>
      <w:lvlText w:val="•"/>
      <w:lvlJc w:val="left"/>
      <w:pPr>
        <w:ind w:left="7553" w:hanging="432"/>
      </w:pPr>
      <w:rPr>
        <w:rFonts w:hint="default"/>
        <w:lang w:val="es-es" w:eastAsia="es-es" w:bidi="es-es"/>
      </w:rPr>
    </w:lvl>
  </w:abstractNum>
  <w:abstractNum w:abstractNumId="2">
    <w:multiLevelType w:val="hybridMultilevel"/>
    <w:lvl w:ilvl="0">
      <w:start w:val="3"/>
      <w:numFmt w:val="upperRoman"/>
      <w:lvlText w:val="%1."/>
      <w:lvlJc w:val="left"/>
      <w:pPr>
        <w:ind w:left="305" w:hanging="375"/>
        <w:jc w:val="left"/>
      </w:pPr>
      <w:rPr>
        <w:rFonts w:hint="default" w:ascii="Arial" w:hAnsi="Arial" w:eastAsia="Arial" w:cs="Arial"/>
        <w:i/>
        <w:spacing w:val="-2"/>
        <w:w w:val="100"/>
        <w:sz w:val="22"/>
        <w:szCs w:val="22"/>
        <w:lang w:val="es-es" w:eastAsia="es-es" w:bidi="es-es"/>
      </w:rPr>
    </w:lvl>
    <w:lvl w:ilvl="1">
      <w:start w:val="0"/>
      <w:numFmt w:val="bullet"/>
      <w:lvlText w:val="•"/>
      <w:lvlJc w:val="left"/>
      <w:pPr>
        <w:ind w:left="1206" w:hanging="375"/>
      </w:pPr>
      <w:rPr>
        <w:rFonts w:hint="default"/>
        <w:lang w:val="es-es" w:eastAsia="es-es" w:bidi="es-es"/>
      </w:rPr>
    </w:lvl>
    <w:lvl w:ilvl="2">
      <w:start w:val="0"/>
      <w:numFmt w:val="bullet"/>
      <w:lvlText w:val="•"/>
      <w:lvlJc w:val="left"/>
      <w:pPr>
        <w:ind w:left="2113" w:hanging="375"/>
      </w:pPr>
      <w:rPr>
        <w:rFonts w:hint="default"/>
        <w:lang w:val="es-es" w:eastAsia="es-es" w:bidi="es-es"/>
      </w:rPr>
    </w:lvl>
    <w:lvl w:ilvl="3">
      <w:start w:val="0"/>
      <w:numFmt w:val="bullet"/>
      <w:lvlText w:val="•"/>
      <w:lvlJc w:val="left"/>
      <w:pPr>
        <w:ind w:left="3019" w:hanging="375"/>
      </w:pPr>
      <w:rPr>
        <w:rFonts w:hint="default"/>
        <w:lang w:val="es-es" w:eastAsia="es-es" w:bidi="es-es"/>
      </w:rPr>
    </w:lvl>
    <w:lvl w:ilvl="4">
      <w:start w:val="0"/>
      <w:numFmt w:val="bullet"/>
      <w:lvlText w:val="•"/>
      <w:lvlJc w:val="left"/>
      <w:pPr>
        <w:ind w:left="3926" w:hanging="375"/>
      </w:pPr>
      <w:rPr>
        <w:rFonts w:hint="default"/>
        <w:lang w:val="es-es" w:eastAsia="es-es" w:bidi="es-es"/>
      </w:rPr>
    </w:lvl>
    <w:lvl w:ilvl="5">
      <w:start w:val="0"/>
      <w:numFmt w:val="bullet"/>
      <w:lvlText w:val="•"/>
      <w:lvlJc w:val="left"/>
      <w:pPr>
        <w:ind w:left="4833" w:hanging="375"/>
      </w:pPr>
      <w:rPr>
        <w:rFonts w:hint="default"/>
        <w:lang w:val="es-es" w:eastAsia="es-es" w:bidi="es-es"/>
      </w:rPr>
    </w:lvl>
    <w:lvl w:ilvl="6">
      <w:start w:val="0"/>
      <w:numFmt w:val="bullet"/>
      <w:lvlText w:val="•"/>
      <w:lvlJc w:val="left"/>
      <w:pPr>
        <w:ind w:left="5739" w:hanging="375"/>
      </w:pPr>
      <w:rPr>
        <w:rFonts w:hint="default"/>
        <w:lang w:val="es-es" w:eastAsia="es-es" w:bidi="es-es"/>
      </w:rPr>
    </w:lvl>
    <w:lvl w:ilvl="7">
      <w:start w:val="0"/>
      <w:numFmt w:val="bullet"/>
      <w:lvlText w:val="•"/>
      <w:lvlJc w:val="left"/>
      <w:pPr>
        <w:ind w:left="6646" w:hanging="375"/>
      </w:pPr>
      <w:rPr>
        <w:rFonts w:hint="default"/>
        <w:lang w:val="es-es" w:eastAsia="es-es" w:bidi="es-es"/>
      </w:rPr>
    </w:lvl>
    <w:lvl w:ilvl="8">
      <w:start w:val="0"/>
      <w:numFmt w:val="bullet"/>
      <w:lvlText w:val="•"/>
      <w:lvlJc w:val="left"/>
      <w:pPr>
        <w:ind w:left="7553" w:hanging="375"/>
      </w:pPr>
      <w:rPr>
        <w:rFonts w:hint="default"/>
        <w:lang w:val="es-es" w:eastAsia="es-es" w:bidi="es-es"/>
      </w:rPr>
    </w:lvl>
  </w:abstractNum>
  <w:abstractNum w:abstractNumId="1">
    <w:multiLevelType w:val="hybridMultilevel"/>
    <w:lvl w:ilvl="0">
      <w:start w:val="3"/>
      <w:numFmt w:val="decimal"/>
      <w:lvlText w:val="%1."/>
      <w:lvlJc w:val="left"/>
      <w:pPr>
        <w:ind w:left="305" w:hanging="250"/>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206" w:hanging="250"/>
      </w:pPr>
      <w:rPr>
        <w:rFonts w:hint="default"/>
        <w:lang w:val="es-es" w:eastAsia="es-es" w:bidi="es-es"/>
      </w:rPr>
    </w:lvl>
    <w:lvl w:ilvl="2">
      <w:start w:val="0"/>
      <w:numFmt w:val="bullet"/>
      <w:lvlText w:val="•"/>
      <w:lvlJc w:val="left"/>
      <w:pPr>
        <w:ind w:left="2113" w:hanging="250"/>
      </w:pPr>
      <w:rPr>
        <w:rFonts w:hint="default"/>
        <w:lang w:val="es-es" w:eastAsia="es-es" w:bidi="es-es"/>
      </w:rPr>
    </w:lvl>
    <w:lvl w:ilvl="3">
      <w:start w:val="0"/>
      <w:numFmt w:val="bullet"/>
      <w:lvlText w:val="•"/>
      <w:lvlJc w:val="left"/>
      <w:pPr>
        <w:ind w:left="3019" w:hanging="250"/>
      </w:pPr>
      <w:rPr>
        <w:rFonts w:hint="default"/>
        <w:lang w:val="es-es" w:eastAsia="es-es" w:bidi="es-es"/>
      </w:rPr>
    </w:lvl>
    <w:lvl w:ilvl="4">
      <w:start w:val="0"/>
      <w:numFmt w:val="bullet"/>
      <w:lvlText w:val="•"/>
      <w:lvlJc w:val="left"/>
      <w:pPr>
        <w:ind w:left="3926" w:hanging="250"/>
      </w:pPr>
      <w:rPr>
        <w:rFonts w:hint="default"/>
        <w:lang w:val="es-es" w:eastAsia="es-es" w:bidi="es-es"/>
      </w:rPr>
    </w:lvl>
    <w:lvl w:ilvl="5">
      <w:start w:val="0"/>
      <w:numFmt w:val="bullet"/>
      <w:lvlText w:val="•"/>
      <w:lvlJc w:val="left"/>
      <w:pPr>
        <w:ind w:left="4833" w:hanging="250"/>
      </w:pPr>
      <w:rPr>
        <w:rFonts w:hint="default"/>
        <w:lang w:val="es-es" w:eastAsia="es-es" w:bidi="es-es"/>
      </w:rPr>
    </w:lvl>
    <w:lvl w:ilvl="6">
      <w:start w:val="0"/>
      <w:numFmt w:val="bullet"/>
      <w:lvlText w:val="•"/>
      <w:lvlJc w:val="left"/>
      <w:pPr>
        <w:ind w:left="5739" w:hanging="250"/>
      </w:pPr>
      <w:rPr>
        <w:rFonts w:hint="default"/>
        <w:lang w:val="es-es" w:eastAsia="es-es" w:bidi="es-es"/>
      </w:rPr>
    </w:lvl>
    <w:lvl w:ilvl="7">
      <w:start w:val="0"/>
      <w:numFmt w:val="bullet"/>
      <w:lvlText w:val="•"/>
      <w:lvlJc w:val="left"/>
      <w:pPr>
        <w:ind w:left="6646" w:hanging="250"/>
      </w:pPr>
      <w:rPr>
        <w:rFonts w:hint="default"/>
        <w:lang w:val="es-es" w:eastAsia="es-es" w:bidi="es-es"/>
      </w:rPr>
    </w:lvl>
    <w:lvl w:ilvl="8">
      <w:start w:val="0"/>
      <w:numFmt w:val="bullet"/>
      <w:lvlText w:val="•"/>
      <w:lvlJc w:val="left"/>
      <w:pPr>
        <w:ind w:left="7553" w:hanging="250"/>
      </w:pPr>
      <w:rPr>
        <w:rFonts w:hint="default"/>
        <w:lang w:val="es-es" w:eastAsia="es-es" w:bidi="es-es"/>
      </w:rPr>
    </w:lvl>
  </w:abstractNum>
  <w:abstractNum w:abstractNumId="0">
    <w:multiLevelType w:val="hybridMultilevel"/>
    <w:lvl w:ilvl="0">
      <w:start w:val="0"/>
      <w:numFmt w:val="bullet"/>
      <w:lvlText w:val="-"/>
      <w:lvlJc w:val="left"/>
      <w:pPr>
        <w:ind w:left="1025" w:hanging="348"/>
      </w:pPr>
      <w:rPr>
        <w:rFonts w:hint="default" w:ascii="Arial" w:hAnsi="Arial" w:eastAsia="Arial" w:cs="Arial"/>
        <w:w w:val="100"/>
        <w:sz w:val="22"/>
        <w:szCs w:val="22"/>
        <w:lang w:val="es-es" w:eastAsia="es-es" w:bidi="es-es"/>
      </w:rPr>
    </w:lvl>
    <w:lvl w:ilvl="1">
      <w:start w:val="0"/>
      <w:numFmt w:val="bullet"/>
      <w:lvlText w:val="•"/>
      <w:lvlJc w:val="left"/>
      <w:pPr>
        <w:ind w:left="1854" w:hanging="348"/>
      </w:pPr>
      <w:rPr>
        <w:rFonts w:hint="default"/>
        <w:lang w:val="es-es" w:eastAsia="es-es" w:bidi="es-es"/>
      </w:rPr>
    </w:lvl>
    <w:lvl w:ilvl="2">
      <w:start w:val="0"/>
      <w:numFmt w:val="bullet"/>
      <w:lvlText w:val="•"/>
      <w:lvlJc w:val="left"/>
      <w:pPr>
        <w:ind w:left="2689" w:hanging="348"/>
      </w:pPr>
      <w:rPr>
        <w:rFonts w:hint="default"/>
        <w:lang w:val="es-es" w:eastAsia="es-es" w:bidi="es-es"/>
      </w:rPr>
    </w:lvl>
    <w:lvl w:ilvl="3">
      <w:start w:val="0"/>
      <w:numFmt w:val="bullet"/>
      <w:lvlText w:val="•"/>
      <w:lvlJc w:val="left"/>
      <w:pPr>
        <w:ind w:left="3523" w:hanging="348"/>
      </w:pPr>
      <w:rPr>
        <w:rFonts w:hint="default"/>
        <w:lang w:val="es-es" w:eastAsia="es-es" w:bidi="es-es"/>
      </w:rPr>
    </w:lvl>
    <w:lvl w:ilvl="4">
      <w:start w:val="0"/>
      <w:numFmt w:val="bullet"/>
      <w:lvlText w:val="•"/>
      <w:lvlJc w:val="left"/>
      <w:pPr>
        <w:ind w:left="4358" w:hanging="348"/>
      </w:pPr>
      <w:rPr>
        <w:rFonts w:hint="default"/>
        <w:lang w:val="es-es" w:eastAsia="es-es" w:bidi="es-es"/>
      </w:rPr>
    </w:lvl>
    <w:lvl w:ilvl="5">
      <w:start w:val="0"/>
      <w:numFmt w:val="bullet"/>
      <w:lvlText w:val="•"/>
      <w:lvlJc w:val="left"/>
      <w:pPr>
        <w:ind w:left="5193" w:hanging="348"/>
      </w:pPr>
      <w:rPr>
        <w:rFonts w:hint="default"/>
        <w:lang w:val="es-es" w:eastAsia="es-es" w:bidi="es-es"/>
      </w:rPr>
    </w:lvl>
    <w:lvl w:ilvl="6">
      <w:start w:val="0"/>
      <w:numFmt w:val="bullet"/>
      <w:lvlText w:val="•"/>
      <w:lvlJc w:val="left"/>
      <w:pPr>
        <w:ind w:left="6027" w:hanging="348"/>
      </w:pPr>
      <w:rPr>
        <w:rFonts w:hint="default"/>
        <w:lang w:val="es-es" w:eastAsia="es-es" w:bidi="es-es"/>
      </w:rPr>
    </w:lvl>
    <w:lvl w:ilvl="7">
      <w:start w:val="0"/>
      <w:numFmt w:val="bullet"/>
      <w:lvlText w:val="•"/>
      <w:lvlJc w:val="left"/>
      <w:pPr>
        <w:ind w:left="6862" w:hanging="348"/>
      </w:pPr>
      <w:rPr>
        <w:rFonts w:hint="default"/>
        <w:lang w:val="es-es" w:eastAsia="es-es" w:bidi="es-es"/>
      </w:rPr>
    </w:lvl>
    <w:lvl w:ilvl="8">
      <w:start w:val="0"/>
      <w:numFmt w:val="bullet"/>
      <w:lvlText w:val="•"/>
      <w:lvlJc w:val="left"/>
      <w:pPr>
        <w:ind w:left="7697" w:hanging="348"/>
      </w:pPr>
      <w:rPr>
        <w:rFonts w:hint="default"/>
        <w:lang w:val="es-es" w:eastAsia="es-es" w:bidi="es-es"/>
      </w:rPr>
    </w:lvl>
  </w:abstractNum>
  <w:num w:numId="8">
    <w:abstractNumId w:val="7"/>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2"/>
      <w:szCs w:val="22"/>
      <w:lang w:val="es-es" w:eastAsia="es-es" w:bidi="es-es"/>
    </w:rPr>
  </w:style>
  <w:style w:styleId="Heading1" w:type="paragraph">
    <w:name w:val="Heading 1"/>
    <w:basedOn w:val="Normal"/>
    <w:uiPriority w:val="1"/>
    <w:qFormat/>
    <w:pPr>
      <w:ind w:left="305"/>
      <w:jc w:val="both"/>
      <w:outlineLvl w:val="1"/>
    </w:pPr>
    <w:rPr>
      <w:rFonts w:ascii="Arial" w:hAnsi="Arial" w:eastAsia="Arial" w:cs="Arial"/>
      <w:b/>
      <w:bCs/>
      <w:sz w:val="22"/>
      <w:szCs w:val="22"/>
      <w:lang w:val="es-es" w:eastAsia="es-es" w:bidi="es-es"/>
    </w:rPr>
  </w:style>
  <w:style w:styleId="ListParagraph" w:type="paragraph">
    <w:name w:val="List Paragraph"/>
    <w:basedOn w:val="Normal"/>
    <w:uiPriority w:val="1"/>
    <w:qFormat/>
    <w:pPr>
      <w:ind w:left="1025" w:hanging="360"/>
      <w:jc w:val="both"/>
    </w:pPr>
    <w:rPr>
      <w:rFonts w:ascii="Arial" w:hAnsi="Arial" w:eastAsia="Arial" w:cs="Arial"/>
      <w:lang w:val="es-es" w:eastAsia="es-es" w:bidi="es-es"/>
    </w:rPr>
  </w:style>
  <w:style w:styleId="TableParagraph" w:type="paragraph">
    <w:name w:val="Table Paragraph"/>
    <w:basedOn w:val="Normal"/>
    <w:uiPriority w:val="1"/>
    <w:qFormat/>
    <w:pPr>
      <w:spacing w:line="234" w:lineRule="exact"/>
      <w:ind w:left="107"/>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2.jpeg"/><Relationship Id="rId10" Type="http://schemas.openxmlformats.org/officeDocument/2006/relationships/footer" Target="footer4.xml"/><Relationship Id="rId11" Type="http://schemas.openxmlformats.org/officeDocument/2006/relationships/header" Target="header2.xml"/><Relationship Id="rId12" Type="http://schemas.openxmlformats.org/officeDocument/2006/relationships/footer" Target="footer5.xml"/><Relationship Id="rId13" Type="http://schemas.openxmlformats.org/officeDocument/2006/relationships/header" Target="header3.xml"/><Relationship Id="rId14" Type="http://schemas.openxmlformats.org/officeDocument/2006/relationships/footer" Target="footer6.xml"/><Relationship Id="rId15" Type="http://schemas.openxmlformats.org/officeDocument/2006/relationships/header" Target="header4.xml"/><Relationship Id="rId16" Type="http://schemas.openxmlformats.org/officeDocument/2006/relationships/footer" Target="footer7.xml"/><Relationship Id="rId17" Type="http://schemas.openxmlformats.org/officeDocument/2006/relationships/header" Target="header5.xml"/><Relationship Id="rId18" Type="http://schemas.openxmlformats.org/officeDocument/2006/relationships/footer" Target="footer8.xml"/><Relationship Id="rId19" Type="http://schemas.openxmlformats.org/officeDocument/2006/relationships/header" Target="header6.xml"/><Relationship Id="rId20" Type="http://schemas.openxmlformats.org/officeDocument/2006/relationships/footer" Target="footer9.xml"/><Relationship Id="rId21" Type="http://schemas.openxmlformats.org/officeDocument/2006/relationships/header" Target="header7.xml"/><Relationship Id="rId22" Type="http://schemas.openxmlformats.org/officeDocument/2006/relationships/footer" Target="footer10.xml"/><Relationship Id="rId23" Type="http://schemas.openxmlformats.org/officeDocument/2006/relationships/header" Target="header8.xml"/><Relationship Id="rId24" Type="http://schemas.openxmlformats.org/officeDocument/2006/relationships/footer" Target="footer11.xml"/><Relationship Id="rId25" Type="http://schemas.openxmlformats.org/officeDocument/2006/relationships/header" Target="header9.xml"/><Relationship Id="rId26" Type="http://schemas.openxmlformats.org/officeDocument/2006/relationships/footer" Target="footer12.xml"/><Relationship Id="rId27" Type="http://schemas.openxmlformats.org/officeDocument/2006/relationships/header" Target="header10.xml"/><Relationship Id="rId28" Type="http://schemas.openxmlformats.org/officeDocument/2006/relationships/footer" Target="footer13.xml"/><Relationship Id="rId29" Type="http://schemas.openxmlformats.org/officeDocument/2006/relationships/header" Target="header11.xml"/><Relationship Id="rId30" Type="http://schemas.openxmlformats.org/officeDocument/2006/relationships/footer" Target="footer14.xml"/><Relationship Id="rId31" Type="http://schemas.openxmlformats.org/officeDocument/2006/relationships/header" Target="header12.xml"/><Relationship Id="rId32" Type="http://schemas.openxmlformats.org/officeDocument/2006/relationships/footer" Target="footer15.xml"/><Relationship Id="rId33" Type="http://schemas.openxmlformats.org/officeDocument/2006/relationships/header" Target="header13.xml"/><Relationship Id="rId34" Type="http://schemas.openxmlformats.org/officeDocument/2006/relationships/footer" Target="footer16.xml"/><Relationship Id="rId35" Type="http://schemas.openxmlformats.org/officeDocument/2006/relationships/header" Target="header14.xml"/><Relationship Id="rId36" Type="http://schemas.openxmlformats.org/officeDocument/2006/relationships/footer" Target="footer17.xml"/><Relationship Id="rId37" Type="http://schemas.openxmlformats.org/officeDocument/2006/relationships/header" Target="header15.xml"/><Relationship Id="rId38" Type="http://schemas.openxmlformats.org/officeDocument/2006/relationships/footer" Target="footer18.xml"/><Relationship Id="rId39" Type="http://schemas.openxmlformats.org/officeDocument/2006/relationships/header" Target="header16.xml"/><Relationship Id="rId40" Type="http://schemas.openxmlformats.org/officeDocument/2006/relationships/footer" Target="footer19.xml"/><Relationship Id="rId41" Type="http://schemas.openxmlformats.org/officeDocument/2006/relationships/header" Target="header17.xml"/><Relationship Id="rId42" Type="http://schemas.openxmlformats.org/officeDocument/2006/relationships/footer" Target="footer20.xml"/><Relationship Id="rId43" Type="http://schemas.openxmlformats.org/officeDocument/2006/relationships/header" Target="header18.xml"/><Relationship Id="rId44" Type="http://schemas.openxmlformats.org/officeDocument/2006/relationships/footer" Target="footer21.xml"/><Relationship Id="rId45" Type="http://schemas.openxmlformats.org/officeDocument/2006/relationships/header" Target="header19.xml"/><Relationship Id="rId46" Type="http://schemas.openxmlformats.org/officeDocument/2006/relationships/footer" Target="footer22.xml"/><Relationship Id="rId47" Type="http://schemas.openxmlformats.org/officeDocument/2006/relationships/header" Target="header20.xml"/><Relationship Id="rId48" Type="http://schemas.openxmlformats.org/officeDocument/2006/relationships/footer" Target="footer23.xml"/><Relationship Id="rId49" Type="http://schemas.openxmlformats.org/officeDocument/2006/relationships/header" Target="header21.xml"/><Relationship Id="rId50" Type="http://schemas.openxmlformats.org/officeDocument/2006/relationships/footer" Target="footer24.xml"/><Relationship Id="rId51" Type="http://schemas.openxmlformats.org/officeDocument/2006/relationships/header" Target="header22.xml"/><Relationship Id="rId52" Type="http://schemas.openxmlformats.org/officeDocument/2006/relationships/footer" Target="footer25.xml"/><Relationship Id="rId5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rcosta</dc:creator>
  <dc:title>ACTA (X2017000118)</dc:title>
  <dcterms:created xsi:type="dcterms:W3CDTF">2018-09-28T17:04:45Z</dcterms:created>
  <dcterms:modified xsi:type="dcterms:W3CDTF">2018-09-28T17:04:45Z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Microsoft® Word 2013</vt:lpwstr>
  </property>
  <property fmtid="{D5CDD505-2E9C-101B-9397-08002B2CF9AE}" pid="4" name="LastSaved">
    <vt:filetime>2018-09-28T00:00:00Z</vt:filetime>
  </property>
</Properties>
</file>